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VD.2022.227 vom 30. Juni 2023</w:t>
      </w:r>
    </w:p>
    <w:p>
      <w:r>
        <w:t>BS Appellationsgericht, 2023-06-30, DE</w:t>
      </w:r>
    </w:p>
    <w:p>
      <w:r>
        <w:rPr>
          <w:b/>
        </w:rPr>
        <w:t xml:space="preserve">Quelle: </w:t>
      </w:r>
      <w:r>
        <w:t>https://mcp.opencaselaw.ch/entscheid/bs_appellationsgericht_VD.2022.227</w:t>
      </w:r>
    </w:p>
    <w:p>
      <w:r>
        <w:t>FR: BS_APPELLATIONSGERICHT VD.2022.227 du 30 juin 2023</w:t>
      </w:r>
    </w:p>
    <w:p>
      <w:r>
        <w:t>IT: BS_APPELLATIONSGERICHT VD.2022.227 del 30 giugno 2023</w:t>
      </w:r>
    </w:p>
    <w:p>
      <w:pPr>
        <w:pStyle w:val="Heading2"/>
      </w:pPr>
      <w:r>
        <w:t>Volltext</w:t>
      </w:r>
    </w:p>
    <w:p>
      <w:r>
        <w:t>Appellationsgericht</w:t>
      </w:r>
    </w:p>
    <w:p>
      <w:r>
        <w:t>des Kantons Basel-Stadt</w:t>
      </w:r>
    </w:p>
    <w:p>
      <w:r>
        <w:t>als Verwaltungsgericht</w:t>
      </w:r>
    </w:p>
    <w:p>
      <w:r>
        <w:t>Dreiergericht</w:t>
      </w:r>
    </w:p>
    <w:p>
      <w:r>
        <w:t>VD.2022.227</w:t>
      </w:r>
    </w:p>
    <w:p>
      <w:r>
        <w:t>URTEIL</w:t>
      </w:r>
    </w:p>
    <w:p>
      <w:r>
        <w:t>vom30. Juni 2023</w:t>
      </w:r>
    </w:p>
    <w:p>
      <w:r>
        <w:t>Mitwirkende</w:t>
      </w:r>
    </w:p>
    <w:p>
      <w:r>
        <w:t>Dr. Stephan Wullschleger, lic. iur. André Equey,</w:t>
      </w:r>
    </w:p>
    <w:p>
      <w:r>
        <w:t>Prof. Dr. Daniela Thurnherr Keller</w:t>
      </w:r>
    </w:p>
    <w:p>
      <w:r>
        <w:t>und Gerichtsschreiberin Dr. Michèle Guth</w:t>
      </w:r>
    </w:p>
    <w:p>
      <w:r>
        <w:t>Beteiligte</w:t>
      </w:r>
    </w:p>
    <w:p>
      <w:r>
        <w:t>A____ AGRekurrentin</w:t>
      </w:r>
    </w:p>
    <w:p>
      <w:r>
        <w:t>[...]</w:t>
      </w:r>
    </w:p>
    <w:p>
      <w:r>
        <w:t>vertreten durch [...], Advokat,</w:t>
      </w:r>
    </w:p>
    <w:p>
      <w:r>
        <w:t>[...]</w:t>
      </w:r>
    </w:p>
    <w:p>
      <w:r>
        <w:t>gegen</w:t>
      </w:r>
    </w:p>
    <w:p>
      <w:r>
        <w:t>Departement für Wirtschaft, Soziales und Umwelt</w:t>
      </w:r>
    </w:p>
    <w:p>
      <w:r>
        <w:t>Rheinsprung 16/18</w:t>
      </w:r>
    </w:p>
    <w:p>
      <w:r>
        <w:t>4001 Basel</w:t>
      </w:r>
    </w:p>
    <w:p>
      <w:r>
        <w:t>Gegenstand</w:t>
      </w:r>
    </w:p>
    <w:p>
      <w:r>
        <w:t>Rekursgegen eine Verfügung des Departements für Wirtschaft,</w:t>
      </w:r>
    </w:p>
    <w:p>
      <w:r>
        <w:t>Soziales und Umwelt vom 20. Juli 2022</w:t>
      </w:r>
    </w:p>
    <w:p>
      <w:r>
        <w:t>betreffend Härtefallgesuche im Zusammenhang mit der</w:t>
      </w:r>
    </w:p>
    <w:p>
      <w:r>
        <w:t>Covid-19-Pandemie</w:t>
      </w:r>
    </w:p>
    <w:p>
      <w:r>
        <w:t>4.2Zu prüfen ist daher, ob die Anwendung der massgebenden Bestimmungen über die Voraussetzungen für einen Anspruch auf Härtefallleistungen im Zusammenhang mit der Covid-19-Epidemie mit Bezug auf den vorliegenden Einzelfall zu einer verfassungswidrigen Ungleichbehandlung führt.</w:t>
      </w:r>
    </w:p>
    <w:p>
      <w:r>
        <w:t>4.2.1Die im Einzelfall zur Anwendung gelangende Norm ist im Rahmen einer akzessorischen Normenkontrolle insoweit zu überprüfen, als sie für diesen massgeblich ist (BGE 136 I 65 S. 69 E. 2.3; VGE VD.2019.110 vom 28. April 2020 E. 3.2.1, VD.2017.106 vom 23. Januar 2018 E. 2.2). Dazu ist vorab der Sinn und Zweck der Bestimmung mittels Auslegung zu ermitteln, wobei die Ermittlung dieser ratio legis nach bundesgerichtlicher Rechtsprechung nicht nach den eigenen, subjektiven Wertvorstellungen des Gerichtes, sondern nach den Vorgaben des Gesetzgebers zu erfolgen hat. Dazu gilt es die Regelungsabsicht des Gesetzgebers und die damit erkennbar getroffene Wertentscheidung mit Hilfe der herkömmlichen Auslegungselemente zu ermitteln (VGE VD.2019.110 vom 28. April 2020 E. 3.2.1 m.H. auf BGer 8C_46/2017 vom 7. August 2017 E. 4.2 m.w.H.).</w:t>
      </w:r>
    </w:p>
    <w:p>
      <w:r>
        <w:t>Ausgangspunkt jeder Gesetzesauslegung ist der Wortlaut des Gesetzes (grammatikalisches Element). Vom klaren, eindeutigen und unmissverständlichen Wortlaut darf nur ausnahmsweise abgewichen werden, so etwa dann, wenn triftige Gründe dafür vorliegen, dass der Wortlaut nicht den wahren Sinn der Norm wiedergibt. Gründe zur Annahme, der Wortlaut entspreche nicht dem wahren Sinn der Bestimmung, können sich aus der Entstehungsgeschichte der Norm (historisches Element), aus ihrem Sinn und Zweck (teleologisches Element) oder aus dem Zusammenhang mit anderen Vorschriften (systematisches Element) ergeben (BGE 143 II 685 E. 4, 140 II 80 E. 2.5.3, 139 IV 62 E. 1.5.4, 131 III 314 E. 2.2.; VGE VD.2019.110 vom 28. April 2020 E. 3.2.1; VGE VB.2022.00068 vom 14. Juli 2022 E. 4.2). Insbesondere bei jüngeren Gesetzen sind auch die Gesetzesmaterialien zu beachten, wenn sie auf die streitige Frage eine klare Antwort geben. Das Bundesgericht verfolgt einen pragmatischen Methodenpluralismus und lehnt es namentlich ab, die einzelnen Auslegungselemente einer hierarchischen Ordnung zu unterstellen. (BGE 142 V 488 E. 6.3.1; 139 V 442 E. 4.1 jeweils m.w.H.; VGE VD.2019.110 vom 28. April 2020 E. 3.2.1).</w:t>
      </w:r>
    </w:p>
    <w:p>
      <w:r>
        <w:t>4.2.2Dabei ist in verfassungskonformer Auslegung der anwendbaren Normen dem Gebot der Gleichbehandlung gemäss Art. 8 BV Rechnung zu tragen. Ein Erlass verletzt das Gebot der Rechtsgleichheit, wenn er rechtliche Unterscheidungen trifft, für die ein vernünftiger Grund in den zu regelnden Verhältnissen nicht ersichtlich ist, oder Unterscheidungen unterlässt, die sich aufgrund der Verhältnisse aufdrängen (BGE 136 II 120 E. 3.3.2 mit Hinweisen). Dem Gesetzgeber bleibt im Rahmen dieser Grundsätze und des Willkürverbots ein weiter Spielraum der Gestaltung (BGE 136 I 1 E. 4.1, 134 I 23 E. 9.1 mit Hinweisen; VGE VD.2019.110 vom 28. April 2020 E. 4.2.1). Die verfassungskonforme Interpretation einer anwendbaren Norm nach Massgabe des Gleichbehandlungsgrundsatzes stösst aber dort an ihre funktionell-rechtlichen Grenzen, wo eine Norm nach ihrem ermittelten Sinn eindeutig die Verfassung verletzt (Rhinow/Schefer/Uebersax,Schweizerisches Verfassungsrecht, 3. Aufl., Basel 2016, Rz. 560). Eine klar korrigierende Auslegung der Norm gegen den Sinn des Gesetzes ist nicht zulässig (Kramer, Juristische Methodenlehre, 6. Aufl., Bern 2019, S. 118 f.). Entzieht sich daher eine kantonale Vorschrift jeder verfassungskonformen Auslegung, kann sie nicht angewendet werden (vgl. BGE 133 I 77 S. 79; VGE VD.2019.110 vom 28. April 2020 E. 4.3).</w:t>
      </w:r>
    </w:p>
    <w:p>
      <w:r>
        <w:t>://:        Der Rekurs wird abgewiesen.</w:t>
      </w:r>
    </w:p>
    <w:p>
      <w:r>
        <w:t>Die Rekurrentin trägt die Gerichtskosten des verwaltungsgerichtlichen Rekursverfahrens mit einer Gebühr von CHF 4000., einschliesslich Auslagen.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