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VD.2022.211 vom 24. April 2023</w:t>
      </w:r>
    </w:p>
    <w:p>
      <w:r>
        <w:t>BS Appellationsgericht, 2023-04-24, DE</w:t>
      </w:r>
    </w:p>
    <w:p>
      <w:r>
        <w:rPr>
          <w:b/>
        </w:rPr>
        <w:t xml:space="preserve">Quelle: </w:t>
      </w:r>
      <w:r>
        <w:t>https://mcp.opencaselaw.ch/entscheid/bs_appellationsgericht_VD.2022.211</w:t>
      </w:r>
    </w:p>
    <w:p>
      <w:r>
        <w:t>FR: BS_APPELLATIONSGERICHT VD.2022.211 du 24 avril 2023</w:t>
      </w:r>
    </w:p>
    <w:p>
      <w:r>
        <w:t>IT: BS_APPELLATIONSGERICHT VD.2022.211 del 24 aprile 2023</w:t>
      </w:r>
    </w:p>
    <w:p>
      <w:pPr>
        <w:pStyle w:val="Heading2"/>
      </w:pPr>
      <w:r>
        <w:t>Erwägungen</w:t>
      </w:r>
    </w:p>
    <w:p>
      <w:r>
        <w:rPr>
          <w:b/>
        </w:rPr>
        <w:t>E. 1</w:t>
      </w:r>
    </w:p>
    <w:p>
      <w:r>
        <w:t>1.1Die Zuständigkeit des Verwaltungsgerichts zur Beurteilung des vorliegenden Rekurses ergibt sich aus dem Überweisungsbeschluss des Regierungspräsidenten vom 30. September 2022 sowie aus § 42 des Organisationsgesetzes (OG, SG 153.100) in Verbindung mit § 12 des Verwaltungsrechtspflegegesetzes (VRPG, SG 270.100). Für das Verfahren gelten die Bestimmungen des VRPG. Zum Entscheid ist nach § 92 Abs. 1 Ziff. 11 des Gerichtsorganisationsgesetzes (GOG, SG 154.100) das Dreiergericht berufen. Die Rekurrentin ist als Adressatin des angefochtenen Entscheids von diesem unmittelbar berührt und hat ein schutzwürdiges Interesse an dessen Aufhebung oder Änderung. Sie ist somit gemäss § 13 Abs. 1 VRPG zum Rekurs legitimiert. Der vorliegende Rekurs wurde den Voraussetzungen von § 46 Abs. 1 OG und § 16 Abs. 2 VRPG entsprechend rechtzeitig angemeldet und begründet. Auf den Rekurs ist einzutreten.</w:t>
      </w:r>
    </w:p>
    <w:p>
      <w:r>
        <w:t>1.2Die Kognition des Verwaltungsgerichts richtet sich nach der allgemeinen Vorschrift von § 8 VRPG. Demnach hat es zu prüfen, ob die Vor­instanz den Sachverhalt unrichtig festgestellt, wesentliche Form- oder Verfahrensvorschriften verletzt, öffentliches Recht nicht oder nicht richtig angewendet oder von dem ihr zustehenden Ermessen einen unzulässigen Gebrauch gemacht hat. Darüber hinaus ist das Verwaltungsgericht mangels einer entsprechenden gesetzlichen Vorschrift im Ausländerrecht nicht befugt, über die Angemessenheit der angefochtenen Verfügung zu entscheiden und damit im Ergebnis sein eigenes Ermessen an Stelle desjenigen der zuständigen Verwaltungsbehörde zu setzen (vgl. statt vieler VGE VD.2020.75 vom 15. Oktober 2020 E. 1.2.1). Art. 110 des Bundesgerichtsgesetzes (BGG, SR 173.110) schreibt den Kantonen in Konkretisierung der Rechtsweggarantie gemäss Art. 29a der Bundesverfassung (BV, SR 101) vor, dass die unmittelbaren Vor­instanzen des Bundesgerichts oder eine vorgängig zuständige andere richterliche Behörde den Sachverhalt frei prüft. Daraus folgt, dass im verwaltungsgerichtlichen Verfahren von Bundesrechts wegen auch neue Tatsachen und Beweismittel unterbreitet werden können (VGE VD.2021.269 vom 9. August 2022 E. 1.4, VD.2022.2 vom 21. Juli 2022 E. 1.3).</w:t>
      </w:r>
    </w:p>
    <w:p>
      <w:r>
        <w:t>1.3Im verwaltungsgerichtlichen Rekursverfahren gilt das Rügeprinzip. Das Gericht prüft einen angefochtenen Entscheid gestützt auf die Begründungsobliegenheit gemäss § 16 Abs. 2 Satz 1 VRPG nicht von sich aus unter allen in Frage kommenden Aspekten, sondern untersucht nur die rechtzeitig vorgebrachten konkreten Beanstandungen. Die rekurrierende Person hat ihren Standpunkt substantiiert vorzutragen und sich mit den Erwägungen im angefochtenen Entscheid auseinanderzusetzen (VGE VD.2018.140 vom 8. Mai 2019 E. 1.3, VD.2016.66 vom 20. Juni 2016 E. 1.3;Wullschleger/Schröder, Praktische Fragen des Verwaltungsprozesses im Kanton Basel-Stadt, in: BJM 2005 S. 277, 305;Stamm, Die Verwaltungsgerichtsbarkeit, in: Buser [Hrsg.], Neues Handbuch des Staats- und Verwaltungsrechts des Kantons Basel-Stadt, Basel 2008, S. 477, 504). Diese Grundsätze gelten sinngemäss auch für das verwaltungsinterne Rekursverfahren vor dem Regierungsrat (vgl. § 46 Abs. 2 OG; VGE VD.2020.54 vom 15. Januar 2021 E. 3.4).</w:t>
      </w:r>
    </w:p>
    <w:p>
      <w:r>
        <w:t>3.4</w:t>
      </w:r>
    </w:p>
    <w:p>
      <w:r>
        <w:t>3.4.1Gemäss Art. 61a Abs. 1 AIG erlischt das Aufenthaltsrecht von Staatsangehörigen der Mitgliedstaaten der EU und der EFTA mit einer Aufenthaltsbewilligung sechs Monate nach unfreiwilliger Beendigung des Arbeitsverhältnisses, wenn dieses vor Ablauf der ersten zwölf Monate des Aufenthalts endet. Diese Bestimmung zielt auf eine Auslegung des FZA ab (Botschaft zur Änderung des Ausländergesetzes, in: BBl 2016 S. 3007 [nachfolgend Botschaft], 3038; VGE VD.2020.140 vom 19. Oktober 2020 E. 2.4). Das Erlöschen des Aufenthaltsrechts gemäss Art. 61a Abs. 1 AIG ergibt sich aus dem Verlust der Arbeitnehmereigenschaft (vgl. Botschaft, S. 3038 und 3059 ff.; VGE VD.2020.140 vom 19. Oktober 2020 E. 2.4). Die Regelung von Art. 61a Abs. 1 AIG entspricht gemäss dem Bundesrat im Ergebnis der Rechtsprechung des Bundesgerichts, wonach eine Arbeitnehmerin ihre freizügigkeitsrechtliche Arbeitnehmereigenschaft verliert, wenn aufgrund ihres Verhaltens feststeht, dass keinerlei ernsthafte Aussichten (mehr) darauf bestehen, dass sie in absehbarer Zeit eine andere Arbeit finden wird (VGE VD.2020.140 vom 19. Oktober 2020 E. 2.4; vgl. Botschaft, S. 3038 f., 3059 ff. und 3074 f.). Mit der unfreiwilligen Beendigung des Arbeitsverhältnisses im Sinn von Art. 61a AIG ist der Verlust der Stelle infolge Entlassung gemeint (VGE VD.2020.140 vom 19. Oktober 2020 E. 2.4; Botschaft, S. 3055 und 3060;Spescha, in: Spescha et al. [Hrsg.], Kommentar Migrationsrecht, 5. Auflage, Zürich 2019, Art. 61a AIG N 6). Art. 61a Abs. 1 AIG gilt nicht bei Beendigung des Arbeitsverhältnisses aufgrund vorübergehender Arbeitsunfähigkeit infolge Krankheit, Unfall oder Invalidität sowie für Personen, die sich auf ein Verbleiberecht nach dem FZA oder dem Übereinkommen vom 4. Januar 1960 zur Errichtung der Europäischen Freihandelsassoziation (EFTA-Übereinkommen, SR 0.632.31) berufen können (Art. 61a Abs. 5 AIG).</w:t>
      </w:r>
    </w:p>
    <w:p>
      <w:r>
        <w:rPr>
          <w:b/>
        </w:rPr>
        <w:t>E. 4</w:t>
      </w:r>
    </w:p>
    <w:p>
      <w:r>
        <w:t>4.1Gemäss Art. 7 lit. c FZA in Verbindung mit Art. 4 Abs. 1 Anhang I FZA haben die Staatsangehörigen einer Vertragspartei und ihre Familienangehörigen nach Beendigung ihrer Erwerbstätigkeit ein Recht auf Verbleib im Hoheitsgebiet der anderen Vertragspartei. Diesbezüglich nimmt Art. 4 Abs. 2 Anhang I FZA auf die Verordnung (EWG) Nr. 1251/70 und auf die Richtlinie 75/34/EWG Bezug (VGE VD.2020.140 vom 19. Oktober 2020 E. 2.5, VD.2018.204 vom 14. April 2019 E. 2.1.1; vgl. BGE 144 II 121 E. 3.2). Gemäss Art. 2 Abs. 1 lit. b der Verordnung (EWG) Nr. 1251/70 hat eine Arbeitnehmerin, die infolge dauernder Arbeitsunfähigkeit eine Beschäftigung im Lohn- oder Gehaltsverhältnis aufgibt, das Recht, im Hoheitsgebiet eines Mitgliedstaats zu verbleiben, wenn sie sich seit mindestens zwei Jahren im Hoheitsgebiet dieses Mitgliedstaats ständig aufgehalten hat. Die Voraussetzung einer bestimmten Dauer des ständigen Aufenthalts entfällt, wenn die dauernde Arbeitsunfähigkeit durch einen Arbeitsunfall oder eine Berufskrankheit eintritt, auf Grund derer ein Anspruch auf eine Rente entsteht, die ganz oder teilweise zu Lasten eines Trägers dieses Mitgliedstaats geht. Das Verbleiberecht infolge Arbeitsunfähigkeit setzt voraus, dass die Ausländerin im Zeitpunkt des Eintritts der dauernden Arbeitsunfähigkeit im freizügigkeitsrechtlichen Sinne Arbeitnehmerin gewesen ist und die Beschäftigung im Lohn- oder Gehaltsverhältnis aufgrund der Arbeitsunfähigkeit aufgegeben hat. Eine Mindestbeschäftigungsdauer setzt Art. 2 Abs. 1 lit. b der Verordnung (EWG) Nr. 1251/70 nicht voraus (VGE VD.2020.140 vom 19. Oktober 2020 E. 2.5, VD.2018.204 vom 14. April 2019 E. 2.1.1; vgl. BGE 144 II 121 E. 3.2 und E. 3.5.3; BGer 2C_1034/2016 vom 13. November 2017 E. 4.2 f.). Die Arbeitnehmerin muss im Zeitpunkt des Eintritts der dauernden Arbeitsunfähigkeit die freizügigkeitsrechtliche Arbeitnehmereigenschaft gehabt haben und diese wegen der dauernden Arbeitsunfähigkeit verloren haben (BGer 2C_755/2019 vom 6. Februar 2020 E. 4.1; VGE VD.2020.140 vom 19. Oktober 2020 E. 2.5).</w:t>
      </w:r>
    </w:p>
    <w:p>
      <w:r>
        <w:t>5.2Aus den vorstehenden Erwägungen folgt, dass der Rekurs abzuweisen ist. Bei diesem Ausgang des Verfahrens trägt die Rekurrentin die Gerichtskosten mit einer Gebühr von CHF 1'200., einschliesslich Auslagen (§ 30 Abs. 1 VRPG; § 23 Abs. 1 des Reglements über die Gerichtsgebühren [SG 154.810]). Diese Kosten gehen zufolge Bewilligung der unentgeltlichen Rechtspflege zu Lasten der Gerichtskasse.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