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VD.2022.200 vom 15. Januar 2023</w:t>
      </w:r>
    </w:p>
    <w:p>
      <w:r>
        <w:t>BS Appellationsgericht, 2023-01-15, DE</w:t>
      </w:r>
    </w:p>
    <w:p>
      <w:r>
        <w:rPr>
          <w:b/>
        </w:rPr>
        <w:t xml:space="preserve">Quelle: </w:t>
      </w:r>
      <w:r>
        <w:t>https://mcp.opencaselaw.ch/entscheid/bs_appellationsgericht_VD.2022.200</w:t>
      </w:r>
    </w:p>
    <w:p>
      <w:r>
        <w:t>FR: BS_APPELLATIONSGERICHT VD.2022.200 du 15 janvier 2023</w:t>
      </w:r>
    </w:p>
    <w:p>
      <w:r>
        <w:t>IT: BS_APPELLATIONSGERICHT VD.2022.200 del 15 gennaio 2023</w:t>
      </w:r>
    </w:p>
    <w:p>
      <w:pPr>
        <w:pStyle w:val="Heading2"/>
      </w:pPr>
      <w:r>
        <w:t>Erwägungen</w:t>
      </w:r>
    </w:p>
    <w:p>
      <w:r>
        <w:rPr>
          <w:b/>
        </w:rPr>
        <w:t>E. 1</w:t>
      </w:r>
    </w:p>
    <w:p>
      <w:r>
        <w:t>1.1Die Zuständigkeit des Verwaltungsgerichts für die Beurteilung des vorliegenden Rekurses folgt aus dem Überweisungsschreiben des Regierungspräsidenten vom 22. September 2022 sowie § 42 des Organisationsgesetzes (OG, SG 153.100) i.V.m. § 12 des Gesetzes über die Verfassungs- und Verwaltungsrechtspflege (VRPG, SG 270.100). Zuständig ist das Dreiergericht (§ 92 Abs. 1 Ziff. 11 des Gerichtsorganisationsgesetzes [GOG; SG 154.100]). Für das Verfahren gelten die Bestimmungen des VRPG. Der Rekurrent ist als Adressat des angefochtenen Entscheids von diesem unmittelbar berührt und hat ein schutzwürdiges Interesse an dessen Aufhebung oder Abänderung. Er ist daher gemäss § 13 Abs. 1 VRPG zum Rekurs legitimiert. Auf den frist- und formgerecht erhobenen Rekurs ist somit grundsätzlich einzutreten.</w:t>
      </w:r>
    </w:p>
    <w:p>
      <w:r>
        <w:t>1.2Die Kognition des Verwaltungsgerichts richtet sich mangels ausdrücklicher spezialgesetzlicher Regelung nach § 8 VRPG. Demnach prüft das Gericht insbesondere, ob die Vorinstanz den Sachverhalt unrichtig festgestellt, wesentliche Form- oder Verfahrensvorschriften verletzt, das öffentliche Recht nicht oder nicht richtig angewandt oder von dem ihr zustehenden Ermessen einen unzulässigen Gebrauch gemacht hat (vgl. VGE VD.2015.161 vom 19. Mai 2016 E. 1.2). 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BJM 2005, S. 277, 305;Stamm, Die Verwaltungsgerichtsbarkeit, in: Buser [Hrsg.], Neues Handbuch des Staats- und Verwaltungsrechts des Kantons Basel-Stadt, Basel 2008, S. 477, 504; VGE VD.2020.101 vom 10. August 2020 E. 1.3).</w:t>
      </w:r>
    </w:p>
    <w:p>
      <w:r>
        <w:rPr>
          <w:b/>
        </w:rPr>
        <w:t>E. 2</w:t>
      </w:r>
    </w:p>
    <w:p>
      <w:r>
        <w:t>2.2Das auf das verwaltungsinterne Rekursverfahren anwendbare OG enthält keine ausdrückliche Vorschrift über die Wiedereinsetzung im Falle eines Fristversäumnisses. DasVerwaltungsgerichtanerkennt aber das Institut der Wiedereinsetzung in den vorigen Stand in ständiger Rechtsprechung aufgrund allgemeiner Rechtsgrundsätze sowohl für das verwaltungsinterne als auch für das verwaltungsgerichtliche Verfahren (VGE VD.2022.111 vom 9. August 2022 E. 3.2; vgl. VGE VD.2022.34 vom 13. Mai 2022 E. 3.1.1, VD.2014.216 vom 9. Februar 2015 E. 4.1). Für das verwaltungsinterne Verfahren wird praxisgemäss eine analoge Anwendung der Regelung von §147 Abs. 5des Steuergesetzes (StG, SG 640.100) als adäquat erachtet (VGE VD.2022.111 vom 9. August 2022 E. 3.2; vgl. VGE VD.2022.34 vom 13. Mai 2022 E. 3.1.1, VD.2013.191 vom 14. April 2014 E. 2.3.1;Schwank, Das verwaltungsinterne Rekursverfahren des Kantons Basel-Stadt, Diss. Basel 2003, S. 140). Diese Bestimmung setzt für die Wiedereinsetzung in den vorigen Stand voraus, dass die säumige Person von der Einhaltung der verpassten Frist durch ein unverschuldetes Hindernis abgehalten worden ist.</w:t>
      </w:r>
    </w:p>
    <w:p>
      <w:r>
        <w:t>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VD.2022.111 vom 9. August 2022 E. 3.2, VD.2022.34 vom 13. Mai 2022 E. 3.1.2, VD.2016.137/199 vom 16. November 2017 E. 3.2). Massgeblich sind nur Gründe, die einer Person die Wahrung ihrer Interessen auch bei Einsatz der gehörigen Sorgfalt gänzlich verunmöglichen oder in unzumutbarer Weise erschweren (VGE VD.2022.111 vom 9. August 2022 E. 3.2, VD.2020.131 vom 30. September 2020 E. 3.1.1, VD.2019.114 vom 3. Dezember 2019 E. 1.3.1). Eine blosse Bestätigung eines Krankheitszustandes oder selbst einer daraus resultierenden vollständigen Arbeitsunfähigkeit genügt zur Anerkennung eines solchen Hindernisses nicht (BGer 2C_31/2011 vom 20. Januar 2011 E. 3, 2C_444/2010 vom 10. Juni 2010 E. 2; VGE VD.2022.34 vom 13. Mai 2022 E. 3.1.2). Mangelnde Sprachkenntnis vermag das Versäumen einer Rechtsmittelfrist ebenfalls nicht zu entschuldigen (BGer 1B_250/2012 vom 31. Juli 2012 E. 2.3; VGE VD.2019.117 vom 6. August 2019 E. 3.1, VD.2019.32 vom 6. Mai 2019 E. 3.1). Die Beweislast für den Wiedereinsetzungsgrund trägt der Gesuchsteller (VGE VD.2021.91 vom 23. Juli 2021 E. 3.2.3, VD.2019.114 vom 3. Dezember 2019 E. 1.3.1, VD.2019.32 vom</w:t>
      </w:r>
    </w:p>
    <w:p>
      <w:r>
        <w:rPr>
          <w:b/>
        </w:rPr>
        <w:t>E. 6</w:t>
      </w:r>
    </w:p>
    <w:p>
      <w:r>
        <w:t>Mai 2019 E. 3.1). Ob der volle Beweis erbracht werden muss (so wohlAm­stutz/Ar­nold, in: Basler Kommentar, 3. Auflage 2018, Art. 50 BGG N 14 FN 59 für das Bundesgerichtsgesetz [BGG, SR 173.110]), oder ob Glaubhaftmachung genügt (so Art. 94 Abs. 1 der Strafprozessordnung [StPO, SR 312.0] und Art. 148 Abs. 1 der Zivilprozessordnung [ZPO, SR 272] für die StPO und die ZPO), kann mangels Glaubhaftmachung eines unverschuldeten Hindernisses im vorliegenden Fall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