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VD.2022.129 vom 7. Juni 2022</w:t>
      </w:r>
    </w:p>
    <w:p>
      <w:r>
        <w:t>BS Appellationsgericht, 2022-06-07, DE</w:t>
      </w:r>
    </w:p>
    <w:p>
      <w:r>
        <w:rPr>
          <w:b/>
        </w:rPr>
        <w:t xml:space="preserve">Quelle: </w:t>
      </w:r>
      <w:r>
        <w:t>https://mcp.opencaselaw.ch/entscheid/bs_appellationsgericht_VD.2022.129</w:t>
      </w:r>
    </w:p>
    <w:p>
      <w:r>
        <w:t>FR: BS_APPELLATIONSGERICHT VD.2022.129 du 7 juin 2022</w:t>
      </w:r>
    </w:p>
    <w:p>
      <w:r>
        <w:t>IT: BS_APPELLATIONSGERICHT VD.2022.129 del 7 giugno 2022</w:t>
      </w:r>
    </w:p>
    <w:p>
      <w:pPr>
        <w:pStyle w:val="Heading2"/>
      </w:pPr>
      <w:r>
        <w:t>Erwägungen</w:t>
      </w:r>
    </w:p>
    <w:p>
      <w:r>
        <w:rPr>
          <w:b/>
        </w:rPr>
        <w:t>E. 1</w:t>
      </w:r>
    </w:p>
    <w:p>
      <w:r>
        <w:t>1.1Die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 2 JVG; VGE VD.2020.201 vom 20. März 2021 E. 1.1, VD.2020.127 vom 24. August 2020 E. 1.3). Der Rekurrent ist als Adressat des angefochtenen Entscheids von diesem unmittelbar berührt und hat ein schutzwürdiges Interesse an dessen Aufhebung oder Abänderung, weshalb er gemäss § 13 VRPG zum Rekurs legitimiert ist. Eine weitere Voraussetzung für die Anhandnahme eines Rekurses ist das Bestehen eines aktuellen Rechtsschutzinteresses. Diese Bedingung ist erfüllt, wenn die Gutheissung des Rekurses dem Rekurrenten einen praktischen Nutzen eintragen würde. Entfällt das schutzwürdige Interesse während des Verfahrens, so führt dies zu einem Abschreibungsentscheid. Damit soll vermieden werden, dass ein Rechtsmittel zur Beurteilung einer rein abstrakten Rechtsfrage ergriffen wird (vgl.BGer 2C_140/2012 vom 2. August 2012 E. 3.1 und 3.4;VGE VD.2016.90 vom 8. Juni 2016 E. 1.2).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Neues Handbuch des Staats- und Verwaltungsrechts des Kantons Basel-Stadt, Basel 2008, S. 500;Wullschleger/Schröder, Praktische Fragen des Verwaltungsprozesses im Kanton Basel-Stadt, in: BJM 2005, S. 292 f.; BGE 126 I 250 E. 1b S. 252; VGE 760/2006 vom 16. Februar 2007, 734/2006 vom 10. Januar 2007).</w:t>
      </w:r>
    </w:p>
    <w:p>
      <w:r>
        <w:t>1.2Gemäss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VD.2020.189 vom 23. Dezember 2020 E. 1.3.1 m.w.H.;Wullschleger/Schröder, a.a.O., S. 277, 305;Stamm, a.a.O., S. 504).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der rekurrierenden Partei geht und welche Argumente sie berücksichtigt wissen will (VGE VD.2022.38 vom 8. August 2022, VD.2019.1 vom 16. Oktober 2019 E. 1.3.2, VD.2017.294 vom 9. Juli 2018 E. 1.2.1;Wullschleger/Schröder, a.a.O., S. 277, 305).</w:t>
      </w:r>
    </w:p>
    <w:p>
      <w:r>
        <w:t>1.3Der Rekurrent hat innert Frist keine Rekursbegründung eingereicht. Immerhin enthält die fristgemäss erfolgte Rekursanmeldung vom 15. Juni 2022 eine kurze Begründung. Der Formulierung «Gewährung von Ausgängen» ist zu entnehmen, dass sich das Begehren des Rekurrenten nicht auf den explizit beantragten Ausgang vom 13. Juni 2022 beschränkt, sondern auch auf zukünftige Ausgänge erstreckt, welche wohl kaum je rechtzeitig auf dem Rekursweg überprüft werden könnten, so dass auf das Erfordernis des aktuellen Rechtsschutzinteresses vorliegend verzichtet wird. Inhaltlich macht der Rekurrent geltend, er habe eine sehr enge und schützenswerte Beziehung zu seiner Tochter und seiner Ehefrau, die in [...] leben. Die vom Straf- und Massnahmenvollzug angenommene Fluchtgefahr sei reine Spekulation und beruhe nicht auf Fakten. Er habe ein Recht auf Resozialisierung und Reintegration. Darüber hinaus setzt er sich mit den Erwägungen der Verfügung vom 7. Juni 2022 aber nicht auseinander. So legt er insbesondere nicht dar, aus welchen Gründen seiner Meinung nach keine Fluchtgefahr bestehe und inwiefern die gegenteilige Annahme des SMV reine Spekulation sei sowie nicht auf Fakten beruhe. Ebenso geht er nicht auf die vom SMV geltend gemachten Zweifel bezüglich der Tragfähigkeit seiner Beziehung zur Tochter und zur Ehefrau ein. Damit kommt der Rekurrent seiner Begründungspflicht nicht nach. Selbst nach den für Laien geltenden, herabgesetzten Standards kann daher auf den Rekurs nicht eingetreten werden.</w:t>
      </w:r>
    </w:p>
    <w:p>
      <w:r>
        <w:rPr>
          <w:b/>
        </w:rPr>
        <w:t>E. 2</w:t>
      </w:r>
    </w:p>
    <w:p>
      <w:r>
        <w:t>Bei diesem Ausgang des Verfahrens wären dessen Kosten grundsätzlich dem Rekurrenten aufzuerlegen (§ 30 Abs. 1 VRPG in Verbindung mit § 23 des Gerichtsgebührenreglements [GGR, SG 154.810]). Umständehalber wird jedoch auf die Erhebung von Gerichtskosten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