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VD.2022.123 vom 19. Januar 2023</w:t>
      </w:r>
    </w:p>
    <w:p>
      <w:r>
        <w:t>BS Appellationsgericht, 2023-01-19, DE</w:t>
      </w:r>
    </w:p>
    <w:p>
      <w:r>
        <w:rPr>
          <w:b/>
        </w:rPr>
        <w:t xml:space="preserve">Quelle: </w:t>
      </w:r>
      <w:r>
        <w:t>https://mcp.opencaselaw.ch/entscheid/bs_appellationsgericht_VD.2022.123</w:t>
      </w:r>
    </w:p>
    <w:p>
      <w:r>
        <w:t>FR: BS_APPELLATIONSGERICHT VD.2022.123 du 19 janvier 2023</w:t>
      </w:r>
    </w:p>
    <w:p>
      <w:r>
        <w:t>IT: BS_APPELLATIONSGERICHT VD.2022.123 del 19 gennaio 2023</w:t>
      </w:r>
    </w:p>
    <w:p>
      <w:pPr>
        <w:pStyle w:val="Heading2"/>
      </w:pPr>
      <w:r>
        <w:t>Erwägungen</w:t>
      </w:r>
    </w:p>
    <w:p>
      <w:r>
        <w:rPr>
          <w:b/>
        </w:rPr>
        <w:t>E. 1</w:t>
      </w:r>
    </w:p>
    <w:p>
      <w:r>
        <w:t>1.1Die angefochtenen Verfügungen beziehen sich einerseits auf das Verfahren betreffend kantonale Steuern pro 2017 (Verfahren VD.2022.123) und andererseits auf jenes betreffend die direkte Bundessteuer pro 2017 (Verfahren VD.2022.124). Beide Verfahren betreffen dieselben Parteien und beruhen auf demselben Tatsachenfundament. Zudem stellen sich in beiden Verfahren dieselben Rechtsfragen, die aufgrund identischer Bestimmungen zu beurteilen sind. Es rechtfertigt sich daher, über den Rekurs und die Beschwerde in einem einzigen Urteil zu befinden (vgl. VGE VD.2016.249/250 vom 2. November 2017 E. 1.1 und BGer 2C_711/2012, 2C_712/2012 vom 20. Dezember 2012 E. 1.2).</w:t>
      </w:r>
    </w:p>
    <w:p>
      <w:r>
        <w:t>1.2Gegen Entscheide der Steuerrekurskommission als vom Regierungsrat gewählte Kommission kann bezüglich der kantonalen Steuern Rekurs an das Verwaltungsgericht erhoben werden (§ 171 des Steuergesetzes [StG, SG 640.100]; § 10 Abs. 1 des Verwaltungsrechtspflegegesetzes [VRPG, SG 270.100]). Zuständig ist das Dreiergericht (§ 92 Abs. 1 Ziff. 11 in Verbindung mit § 32 Abs. 1 des Gerichtsorganisationsgesetzes [GOG, SG 154.100]). Das Verfahren richtet sich nach den Bestimmungen des VRPG, soweit das Steuergesetz keine spezielle Vorschrift enthält (§ 171 Abs. 4 StG).</w:t>
      </w:r>
    </w:p>
    <w:p>
      <w:r>
        <w:t>Bezüglich der direkten Bundessteuer kann das kantonale Recht den Weiterzug des Beschwerdeentscheids mittels Beschwerde an eine weitere verwaltungsunabhängige Instanz vorsehen (Art. 145 Abs. 1 des Bundesgesetzes über die direkte Bundessteuer [DBG, SR 642.11]). Sieht das kantonale Recht ein zweistufiges Rekursverfahren für die kantonalen Steuern vor, muss dasselbe Verfahren auch für die direkte Bundessteuer gelten (BGE 130 II 65 E. 6 S. 7580). Da das baselstädtische Recht für die kantonalen Steuern ein zweistufiges Rekursverfahren vorsieht, kommt dieses auch für die direkte Bundessteuer zur Anwendung (VGE 608/2006 vom 22. Juni 2006, in: BJM 2008, S. 220; vgl.Wullschleger/Schröder, Praktische Fragen des Verwaltungsprozesses im Kanton Basel-Stadt, in: BJM 2005, S. 277, 287). Im Beschwerdeverfahren der direkten Bundessteuer gelten in erster Linie die Verfahrensbestimmungen der Art. 140144 DBG, subsidiär jene des kantonalen Rechts über die Organisation und das Verfahren, insbesondere jene über den Rekurs (Art. 145 Abs. 2 DBG, § 1 der Verordnung über den Vollzug der direkten Bundessteuer [SG 660.100]; VGE VD.2013.104 vom 31. Oktober 2013). Zuständig für die Beurteilung der Beschwerde ist daher ebenfalls das Verwaltungsgericht als Dreiergericht.</w:t>
      </w:r>
    </w:p>
    <w:p>
      <w:r>
        <w:t>1.3Zum Rekurs und zur Beschwerde ist legitimiert, wer durch die angefochtenen Verfügungen berührt ist und ein schutzwürdiges Interesse an ihrer Aufhebung oder Änderung hat (§ 13 Abs. 1 VRPG). Dies trifft auf die Rekurrentin als Adressatin der angefochtenen Entscheide zu. Der Rekurs und die Beschwerde wurden frist- und formgerecht eingereicht (§ 171 Abs. 2 in Verbindung mit § 164 Abs. 2 StG, Art. 145 Abs. 2 in Verbindung mit Art. 140 Abs. 1 und 2 DBG). Somit ist auf die Rechtsmittel einzutreten.</w:t>
      </w:r>
    </w:p>
    <w:p>
      <w:r>
        <w:t>1.4In Bezug auf die kantonalen Steuern richtet sich die Kognition des Verwaltungsgerichts nach der allgemeinen Bestimmung von § 8 VRPG, da das Steuergesetz diesbezüglich keine speziellen Vorschriften über das Rekursverfahren vor dem Verwaltungsgericht enthält (vgl. § 171 StG).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In Bezug auf die direkte Bundessteuer können mit der Beschwerde alle Mängel des angefochtenen Entscheids und des vorangegangenen Verfahrens gerügt werden (Art. 145 Abs. 2 in Verbindung mit Art. 140 Abs. 3 DBG).</w:t>
      </w:r>
    </w:p>
    <w:p>
      <w:r>
        <w:rPr>
          <w:b/>
        </w:rPr>
        <w:t>E. 2</w:t>
      </w:r>
    </w:p>
    <w:p>
      <w:r>
        <w:t>2.1Mit den angefochtenen Verfügungen vom 9. Mai 2022 erwog die Steuerrekurskommission, dass die mit Schreiben vom 4. April 2022 festgesetzten und innert Frist bis zum</w:t>
      </w:r>
    </w:p>
    <w:p>
      <w:r>
        <w:rPr>
          <w:b/>
        </w:rPr>
        <w:t>E. 4</w:t>
      </w:r>
    </w:p>
    <w:p>
      <w:r>
        <w:t>Mai 2022 hinaus nicht zu erbringen.</w:t>
      </w:r>
    </w:p>
    <w:p>
      <w:r>
        <w:t>2.5In der Replik äusserte die Rekurrentin die Ansicht, dass das Verwaltungsgericht mit der Erhebung von Kostenvorschüssen entschieden habe, das Verfahren durch die Steuerrekurskommission durchzuführen. Sie habe die Rechnungen von zwei Mal CHF 500. erhalten und beglichen, damit die Steuerrekurskommission die Untersuchung durchführen könne.</w:t>
      </w:r>
    </w:p>
    <w:p>
      <w:r>
        <w:t>Dabei unterliegt die Rekurrentin offensichtlich einem doppelten Missverständnis. Erstens betreffen die in den Verfahren vor dem Verwaltungsgericht geleisteten Kostenvorschüsse nur gerade diese Verfahren (vgl. § 30 Abs. 2 VRPG). Die vor der Steuerrekurskommission für die vorinstanzlichen Verfahren nicht geleisteten Kostenvorschüsse bleiben davon unberührt. Deren Nichtleistung kann nicht durch die Zahlung von Kostenvorschüssen an das Verwaltungsgericht kompensiert werden. Und zweitens hat das Verwaltungsgericht mit der Erhebung der Kostenvorschüsse über die Rechtsmittel noch nicht entschieden. Dies geschieht erst mit dem vorliegenden Urteil.</w:t>
      </w:r>
    </w:p>
    <w:p>
      <w:r>
        <w:t>3.</w:t>
      </w:r>
    </w:p>
    <w:p>
      <w:r>
        <w:t>Aus den vorstehenden Erwägungen folgt, dass die angefochtenen Verfügungen nicht zu beanstanden sind. Der Rekurs und die Beschwerde sind daher abzuweisen. Bei diesem Ausgang der Verfahren trägt die Rekurrentin deren Kosten mit Gebühren von je CHF 500. (§ 30 Abs. 1 VRPG, § 23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