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VD.2022.105 vom 25. Juli 2022</w:t>
      </w:r>
    </w:p>
    <w:p>
      <w:r>
        <w:t>BS Appellationsgericht, 2022-07-25, DE</w:t>
      </w:r>
    </w:p>
    <w:p>
      <w:r>
        <w:rPr>
          <w:b/>
        </w:rPr>
        <w:t xml:space="preserve">Quelle: </w:t>
      </w:r>
      <w:r>
        <w:t>https://mcp.opencaselaw.ch/entscheid/bs_appellationsgericht_VD.2022.105</w:t>
      </w:r>
    </w:p>
    <w:p>
      <w:r>
        <w:t>FR: BS_APPELLATIONSGERICHT VD.2022.105 du 25 juillet 2022</w:t>
      </w:r>
    </w:p>
    <w:p>
      <w:r>
        <w:t>IT: BS_APPELLATIONSGERICHT VD.2022.105 del 25 luglio 2022</w:t>
      </w:r>
    </w:p>
    <w:p>
      <w:pPr>
        <w:pStyle w:val="Heading2"/>
      </w:pPr>
      <w:r>
        <w:t>Erwägungen</w:t>
      </w:r>
    </w:p>
    <w:p>
      <w:r>
        <w:rPr>
          <w:b/>
        </w:rPr>
        <w:t>E. 1</w:t>
      </w:r>
    </w:p>
    <w:p>
      <w:r>
        <w:t>1.1Gegen Entscheide der Kindes- und Erwachsenenschutzbehörde kann Beschwerde an das Verwaltungsgericht geführt werden (Art. 450 Abs. 1 in Verbindung mit Art. 314 Abs. 1 des Schweizerischen Zivilgesetzbuchs [ZGB, SR 210] sowie § 17 Abs. 1 des Kindes- und Erwachsenenschutzgesetzes [KESG, SG 212.400]). Für das Verfahren vor dem Verwaltungsgericht gelten in erster Linie die Bestimmungen der Art. 450 ff. ZGB, subsidiär diejenigen des KESG, des Verwaltungsrechtspflegegesetzes (VRPG, SG 270.100) und schliesslich die Bestimmungen der Schweizerischen Zivilprozessordnung (ZPO, SR 272) (§ 19 Abs. 1 KESG, Art. 450f in Verbindung mit Art. 314 Abs. 1 ZGB). Wenn wegen Säumnis ein Nichteintretensentscheid zu ergehen hat, istdas Einzelgericht zum Entscheid zuständig (§ 44 Abs. 1 des Gerichtsorganisationsgesetzes, SG 154.100).</w:t>
      </w:r>
    </w:p>
    <w:p>
      <w:r>
        <w:t>1.2Damit das Gericht auf eine Beschwerde eintritt, muss sie fristgerecht eingereicht werden. Die Frist zur Beschwerde gegen Entscheide der Kindes- und Erwachsenenschutzbehörde beträgt 30 Tage seit Mitteilung des Entscheids (Art. 450b Abs. 1 ZGB). Der angefochtene Entscheid wurde der Beschwerdeführerin am 1. April 2022 eröffnet (vgl. Sendungsverfolgung der Schweizerischen Post). Die Beschwerdefrist begann somit am 2. April 2022 zu laufen (Art. 142 Abs. 1 ZPO). Sie stand während der Gerichtsferien an Ostern nicht still (§ 21 Abs. 2 VRPG, VGE VD.2018.252 vom 3. Juli 2019 E. 1.3.1.2). Der letzte Tag der Beschwerdefrist fiel folglich auf den 1. Mai 2022 und damit auf einen Sonntag bzw. einen anerkannten Feiertag. Die Frist endete daher am nächsten Werktag, d.h. am 2. Mai 2022 (Art. 142 Abs. 3 ZPO). Zur Fristwahrung müssen Eingaben spätestens am letzten Tag der Frist beim Gericht eingereicht oder zu dessen Handen der Schweizerischen Post oder einer schweizerischen diplomatischen oder konsularischen Vertretung übergeben werden (Art. 143 Abs. 1 ZPO). Die Beschwerdebegründung wurde am 17. Mai 2022 und damit später als am letzten Tag der Beschwerdefrist der Schweizerischen Post übergeben. Die Beschwerde wurde demzufolge nicht fristgerecht eingereicht.</w:t>
      </w:r>
    </w:p>
    <w:p>
      <w:r>
        <w:rPr>
          <w:b/>
        </w:rPr>
        <w:t>E. 2</w:t>
      </w:r>
    </w:p>
    <w:p>
      <w:r>
        <w:t>Aus der vorstehenden Erwägung folgt, dass auf die Beschwerde mangels Einhaltung der Beschwerdefrist nicht einzutreten ist. Umständehalber wird auf die Erhebung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