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VD.2022.104 vom 3. März 2021</w:t>
      </w:r>
    </w:p>
    <w:p>
      <w:r>
        <w:t>BS Appellationsgericht, 2021-03-03, DE</w:t>
      </w:r>
    </w:p>
    <w:p>
      <w:r>
        <w:rPr>
          <w:b/>
        </w:rPr>
        <w:t xml:space="preserve">Quelle: </w:t>
      </w:r>
      <w:r>
        <w:t>https://mcp.opencaselaw.ch/entscheid/bs_appellationsgericht_VD.2022.104</w:t>
      </w:r>
    </w:p>
    <w:p>
      <w:r>
        <w:t>FR: BS_APPELLATIONSGERICHT VD.2022.104 du 3 mars 2021</w:t>
      </w:r>
    </w:p>
    <w:p>
      <w:r>
        <w:t>IT: BS_APPELLATIONSGERICHT VD.2022.104 del 3 marzo 2021</w:t>
      </w:r>
    </w:p>
    <w:p>
      <w:pPr>
        <w:pStyle w:val="Heading2"/>
      </w:pPr>
      <w:r>
        <w:t>Erwägungen</w:t>
      </w:r>
    </w:p>
    <w:p>
      <w:r>
        <w:rPr>
          <w:b/>
        </w:rPr>
        <w:t>E. 1</w:t>
      </w:r>
    </w:p>
    <w:p>
      <w:r>
        <w:t>1.1Die Zuständigkeit des Verwaltungsgerichts für die Beurteilung des vorliegenden Rekurses ergibt sich aus § 33 Abs. 2 des Justizvollzugsgesetzes (JVG, SG 258.200). Gestützt darauf ist das Dreiergericht des Verwaltungsgerichts für die Beurteilung des vorliegenden Rekurses zuständig (§ 88 Abs. 2 in Verbindung mit § 92 Abs. 1 Ziff. 11 des Gerichtsorganisationsgesetzes [GOG, SG 154.100]). Das Verwaltungsgericht urteilt mit voller Kognition (Ratschlag Nr. 18.1330.01 vom 26. September 2018 zu einem neuen Gesetz über den Justizvollzug, S. 32), es übt also eine Sachverhalts-, Rechts- und Angemessenheitskontrolle aus (vgl. § 8 Abs. 1 und 5 des Verwaltungsrechtspflegegesetzes [VRPG, SG 270.100] in Verbindung mit § 33 Abs.</w:t>
      </w:r>
    </w:p>
    <w:p>
      <w:r>
        <w:rPr>
          <w:b/>
        </w:rPr>
        <w:t>E. 1.2</w:t>
      </w:r>
    </w:p>
    <w:p>
      <w:r>
        <w:t>1.2.1DerRekursist nur im Rahmen des Streitgegenstands zulässig.Streitgegenstandbildet das im angefochtenen Verwaltungsakt geregelte oder zu regelnde Rechtsverhältnis, soweit es angefochten wird (VGE VD.2018.43 vom 1. März 2019 E. 1.4, VD.2018.29 vom 16. August 2018 E. 1.2.2, VD.2017.253 vom 18. Juni 2018 E. 1.2.1;Schwank, Das verwaltungsinterne Rekursverfahren des Kantons Basel-Stadt, in: Buser [Hrsg.], Neues Handbuch des Staats- und Verwaltungsrechts des Kantons Basel-Stadt, Basel 2008, S. 435, 444;Wullschleger/Schröder, Praktische Fragen des Verwaltungsprozesses im Kanton Basel-Stadt, in: BJM 2005 S. 277, 285). Er darf sich im Lauf des Rechtsmittelzugsnichterweitern (VGE VD.2018.43 vom 1. März 2019 E. 1.4;Stamm, Die Verwaltungsgerichtsbarkeit, in: Buser [Hrsg.], Neues Handbuch des Staats- und Verwaltungsrechts des Kantons Basel-Stadt, Basel 2008, S. 477, S. 505).Streitgegenstanddes verwaltungsgerichtlichen Rekursverfahrens kann nur sein, was bereits Gegenstand des vorinstanzlichen Verfahrens gewesen ist oder hätte sein sollen. Gegenstände, über welche die Vor­instanzen weder entschieden haben noch hätten entscheiden müssen, sind vomVerwaltungsgerichtnicht zu behandeln (VGE VD.2018.43 vom 1. März 2019 E. 1.4, VD.2018.29 vom 16. August 2018 E. 1.2.2). Soweit ein Sachantrag über die vor der letzten Verwaltungsinstanz gestellten Anträge hinausgeht, bleibt er gemäss § 19 Abs. 1 VRPG unberücksichtigt. Dementsprechend tritt das Verwaltungsgericht auferstmalsbei ihm gestellte Anträge nicht ein (VGE VD.2022.8 vom 19. Oktober 2022 E. 1.2.3.2 mit Hinweis auf VD.2016.221 vom 16. November 2017 E. 1.2.1, VD.2017.17 vom 18. Mai 2017 E. 2.1;Stamm, a.a.O., S. 505).</w:t>
      </w:r>
    </w:p>
    <w:p>
      <w:r>
        <w:t>1.2.2Der Rekurrent beantragt die bedingte Entlassung aus der stationären Massnahme, eventualiter sei eine ambulante Massnahme gemäss Art. 63 StGB anzuordnen.Der vorinstanzliche Entscheid, womit dem Rekurrenten die bedingte Entlassung aus dem stationären Massnahmenvollzug verweigert wurde, erging im Rahmen der periodischen Überprüfung gemäss Art. 62d Abs. 1 StGB. Demgemäss hat die Vollzugsbehörde jährlich eine Bestandesaufnahme über die fragliche Massnahme vorzunehmen. Dabei sind einerseits die Möglichkeit einer bedingten Entlassung, aber auch sämtliche Voraussetzungen der Massnahme bzw.deren Weiterführungeiner umfassenden Prüfung zu unterziehen (Heer, in: Basler Kommentar zum Strafgesetzbuch,</w:t>
      </w:r>
    </w:p>
    <w:p>
      <w:r>
        <w:rPr>
          <w:b/>
        </w:rPr>
        <w:t>E. 2</w:t>
      </w:r>
    </w:p>
    <w:p>
      <w:r>
        <w:t>JVG; VGE VD.2020.127 vom 24. August 2020 E. 1.3). Der Rekurrent ist als Adressat des angefochtenen Entscheids von diesem unmittelbar berührt und hat ein schutzwürdiges Interesse an dessen Aufhebung oder Abänderung, weshalb er gemäss § 13 VRPG zum Rekurs legitimiert ist.</w:t>
      </w:r>
    </w:p>
    <w:p>
      <w:r>
        <w:rPr>
          <w:b/>
        </w:rPr>
        <w:t>E. 4</w:t>
      </w:r>
    </w:p>
    <w:p>
      <w:r>
        <w:t>4.1Bei dieser Sachlage erweist sich der Rekurs als unbegründet und ist daher abzuweisen, soweit darauf einzutreten ist.</w:t>
      </w:r>
    </w:p>
    <w:p>
      <w:r>
        <w:rPr>
          <w:b/>
        </w:rPr>
        <w:t>E. 4.2</w:t>
      </w:r>
    </w:p>
    <w:p>
      <w:r>
        <w:t>4.2.1Bei diesem Ausgang des Verfahrens wären dessen Kosten in Höhe von CHF 800. grundsätzlich dem Rekurrenten aufzuerlegen (Art. 30 Abs. 1 VRPG in Verbindung mit § 23 Abs. 1 des Gerichtsgebührenreglements [GGR, SG 154.810]). Der Rekurrent hat aber ein Gesuch um Bewilligung der unentgeltlichen Rechtspflege gestellt. Anspruch auf unentgeltliche Prozessführung hat eine bedürftige Partei dann, wenn ihre Rechtsbegehren nicht aussichtslos erscheinen.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 1.1 S. 397, 138 III 217 E. 2.2.4 S. 218 und 133 III 614 E. 5 S. 616); eine Partei soll einen Prozess, den sie auf eigene Rechnung und Gefahr nicht führen würde, nicht deshalb anstrengen können, weil er sie nichts kostet (BGE 129 I 129 E. 2.3.1 S. 135 und 128 I 225 E. 2.5.3 S. 235 f.; VGE VD.2014.216 vom 9. Februar 2015 E. 5). Die Prozesschancen sind in vorläufiger und summarischer Prüfung des Prozessstoffes abzuschätzen, wobei es im Rechtsmittelverfahren um die Erfolgsaussichten des Rechtsbehelfs geht. Die Frage lautet, ob das Rechtsmittel offenbar prozessual unzulässig oder aussichtslos ist (BGer 5A_184/2018 vom 4. Mai 2018 mit weiteren Hinweisen).</w:t>
      </w:r>
    </w:p>
    <w:p>
      <w:r>
        <w:t>4.2.2Nach summarischer Prüfung der Rechtsbegehren des Rekurrenten und deren Begründung, die sich auf die Frage der Verhältnismässigkeit beschränkt, erscheinen die Rügen an den bereits eingehenden Erwägungen der Vorinstanz zu seinem Standpunkt wenig aussichtsreich. Immerhin erscheint die Rechtssache für den Rekurrenten aufgrund des über die mit Urteil des Strafgerichts vom 3. März 2021 verhängte Sanktion hinausgehenden Freiheitsentzugs von erheblichem Gewicht. Vor diesem Hintergrund kann nicht ausgeschlossen werden, dass auch ein auf eigene Rechnung prozessierender Rekurrent den Prozess angestrengt hätte. Es handelt sich aber offensichtlich um einen Grenzfall zur Aussichtslosigkeit. Dem Rekurrenten kann aufgrund seiner ausgewiesenen Bedürftigkeit unter diesem Vorbehalt die unentgeltliche Prozessführung knapp bewilligt werden. Daraus folgt, dass die Kosten des Verfahrens in Höhe von CHF 800. zu Lasten der Gerichtskasse gehen und dem Rechtsvertreter ein Honorar aus dieser zu entrichten ist. Gestützt auf seine Honorarnote vom 9. November 2022 ergibt sich ein Honorar von CHF 4'033.35, zuzüglich Reisespesen in Höhe von CHF 200. (§ 23 Abs. 2 des Honorarreglements [HoR, SG 291.400]) sowie 7,7 % Mehrwertsteuer von CHF 325.95, insgesamt also in der Höhe von CHF 4'559.30.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