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VD.2021.79 vom 25. Mai 2021</w:t>
      </w:r>
    </w:p>
    <w:p>
      <w:r>
        <w:t>BS Appellationsgericht, 2021-05-25, DE</w:t>
      </w:r>
    </w:p>
    <w:p>
      <w:r>
        <w:rPr>
          <w:b/>
        </w:rPr>
        <w:t xml:space="preserve">Quelle: </w:t>
      </w:r>
      <w:r>
        <w:t>https://mcp.opencaselaw.ch/entscheid/bs_appellationsgericht_VD.2021.79</w:t>
      </w:r>
    </w:p>
    <w:p>
      <w:r>
        <w:t>FR: BS_APPELLATIONSGERICHT VD.2021.79 du 25 mai 2021</w:t>
      </w:r>
    </w:p>
    <w:p>
      <w:r>
        <w:t>IT: BS_APPELLATIONSGERICHT VD.2021.79 del 25 maggio 2021</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w:t>
      </w:r>
    </w:p>
    <w:p>
      <w:r>
        <w:t>1.2Der Rekurrent ist als Adressat der angefochtenen Verfügung von dieser unmittelbar berührt und hat ein schutzwürdiges Interesse an deren Aufhebung oder Abänderung, weshalb ergemäss§ 13 des Gesetzes über die Verfassungs- und Verwaltungsrechtspflege (VRPG, SG 270.100) zum Rekurs legitimiert ist. Auf den frist- und formgerechten Rekurs ist somit einzutreten.</w:t>
      </w:r>
    </w:p>
    <w:p>
      <w:r>
        <w:t>1.3Das Verwaltungsgericht hat volle Kognition (Ratschlag Nr. 18.1330.01 vom 26. September 2018 zu einem neuen Gesetz über den Justizvollzug S. 32). Es hat zu prüfen,obdie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derangefochtenenVerfügung (§ 8 Abs. 5 VRPG in Verbindung mit § 33 Abs. 2 JVG).</w:t>
      </w:r>
    </w:p>
    <w:p>
      <w:r>
        <w:rPr>
          <w:b/>
        </w:rPr>
        <w:t>E. 2</w:t>
      </w:r>
    </w:p>
    <w:p>
      <w:r>
        <w:t>2.1Gemäss Art. 372 Abs. 1 und 2 des Schweizerischen Strafgesetzbuchs (StGB, SR 311.0) vollziehen die Kantone die von ihren Staatsanwaltschaften auf Grund des StGB erlassenen Strafbefehle (vgl.Imperatori, in: Basler Kommentar Strafrecht II, 4. Auflage 2019, Art. 372 N 5). Die Vollzugsbehörde bestimmt die geeignete Vollzugseinrichtung und bietet die verurteilte Person zum Antritt der Strafe auf (§ 21 Abs. 1 JVG). Gemäss § 21 Abs. 1 der Justizvollzugsverordnung (JVV, SG 258.210) sind Freiheitsstrafen in der Regel innert drei Monaten nach Eintritt der Rechtskraft des Urteils anzutreten.</w:t>
      </w:r>
    </w:p>
    <w:p>
      <w:r>
        <w:t>2.2Der Rekurrent rügt den Vollzug der gegenüber ihm ausgesprochenen Freiheitsstrafen alsunverhältnismässig. Zu prüfen ist somit, ob der Vollzug in einer alternativen Form wie Halbgefangenschaft oderder elektronischen Überwachung in Betracht zu ziehen ist.</w:t>
      </w:r>
    </w:p>
    <w:p>
      <w:r>
        <w:t>2.3Gemäss Art. 77b Abs. 1 des Strafgesetzbuches (StGB; SR.311.0) kannauf Gesuch des Verurteilten hin eine Freiheitsstrafe von nicht mehr als 12 Monaten oder eine nach Anrechnung der Untersuchungshaft verbleibende Reststrafe von nicht mehr als sechs Monaten in der Form der Halbgefangenschaft vollzogen werden, wenn nicht zu erwarten ist, dass der Verurteilte flieht oder weitere Straftaten begeht (lit. a) und der Verurteilte einer geregelten Arbeit, Ausbildung oder Beschäftigung von mindestens 20 Stunden pro Woche nachgeht (lit. b). Mit der Vollzugsform der Halbgefangenschaft sollen der mit der Vollstreckung einer Freiheitsstrafe oft einhergehende Verlust der bisherigen Arbeitsstelle oder des Ausbildungsplatzes und die damit verbundene Desintegration aus der Arbeitswelt vermieden werden (Koller, in: Basler Kommentar Strafrecht I, 4. Auflage 2019, Art. 77b N 2 m.H. auf BGE 99 Ib 45 E. 1 S. 47;Joset, in: Graf (Hrsg.), Annotierter Kommentar StGB, 2020, Art. 77b N 4;Wohlers, in: Wohlers/Godenzi/Schlegel, StGB Handkommentar, 4. Aufl. 2020, Art. 77b N 1; BGer 6B_813/2016 vom 25. Januar 2017 E. 2.2.1; 6B_806/2017 E. 1.2). Daraus ergeben sich auch die entsprechenden Voraussetzungen (Koller, a.a.O., Art. 77b N 10; BGer 6B_813/2016 vom 25. Januar 2017 E. 2.2.2; 6B_386/2012 vom 15. November 2012 E. 6.1), die in Art. 77b StGB abschliessend geregelt werden (BGE 145 IV 10 E.</w:t>
      </w:r>
    </w:p>
    <w:p>
      <w:r>
        <w:rPr>
          <w:b/>
        </w:rPr>
        <w:t>E. 2.1</w:t>
      </w:r>
    </w:p>
    <w:p>
      <w:r>
        <w:t>S. 11 f.;Wohlers, a.a.O., Art. 77b N 3).</w:t>
      </w:r>
    </w:p>
    <w:p>
      <w:r>
        <w:t>Gemäss Art 79b Abs. 1 StGB kann die Vollzugsbehörde einer verurteilten Person auf Gesuch hin den Vollzug einer Freiheitsstrafe bis zu zwölf Monaten in der Form der elektronischen Überwachung bewilligen. Voraussetzung für die Bewilligung ist das Fehlen von Flucht- und Fortsetzungsgefahr (lit. a). Zudem muss die verurteilte Person über eine dauerhafte Unterkunft verfügen (lit. b) sowie einer geregelten Arbeit, Ausbildung oder Beschäftigung von mindestens 20 Stunden pro Woche nachgehen (lit. c). Darunter fallen auch Tätigkeiten zur Bestreitung des Lebensunterhalts in einem weiten Sinne, aber auch Haus- und Erziehungsarbeiten oder Arbeitsloseneinsatzprogramme (Koller, a.a.O., Art. 79b N 10). Diese Tätigkeit muss spätestens beim Strafantritt ausgeübt werden (Koller, a.a.O., Art. 79b N 19). Die genannten Voraussetzungen müssen kumulativ erfüllt sein. Fluchtgefahr liegt vor, wenn eine gewisse Wahrscheinlichkeit besteht, dass sich der Beschwerdeführer, wenn er in Freiheit wäre, der Strafverfolgung und dem Vollzug der Strafe durch Flucht oder Untertauchen entziehen würde.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in: Basler Kommentar, 2. Auflage 2014, Art. 221 StPO N 5).</w:t>
      </w:r>
    </w:p>
    <w:p>
      <w:r>
        <w:t>2.4Der Rekurrent ist spanischer Staatsbürger und verfügt weder über einen Wohnsitz in der Schweiz noch über eine hiesige Arbeitsstelle. Fluchtgefahr ist demnach zu bejahen, da zu befürchten ist, dass er bei einer allfälligen Vollzugslockerung die Schweiz sofort verlassen würde. Zudem ist vor diesem Hintergrund eine Strafverbüssung in der Form des Electronic Monitoring oder der Halbgefangenschaft für den Rekurrenten nichtmöglich. Andere Gründe, die gegen einen Vollzug der gegenüber dem Rekurrenten ausgesprochenen Freiheitsstrafe sprechen würden, sind nicht ersichtlich. Demnach ist nicht zu beanstanden, dass die Freiheitsstrafe gemäss der Verfügung der Vollzugsbehörde vom26. März 2021 ab dem 25. März 2021zu vollziehen ist.</w:t>
      </w:r>
    </w:p>
    <w:p>
      <w:r>
        <w:rPr>
          <w:b/>
        </w:rPr>
        <w:t>E. 3</w:t>
      </w:r>
    </w:p>
    <w:p>
      <w:r>
        <w:t>Aus den vorstehenden Gründen ist der Rekurs abzuweisen. Entsprechend dem Ausgang des Verfahrens hat der Rekurrent grundsätzlich die Kosten des verwaltungsgerichtlichen Rekursverfahrens zu tragen (§ 30 Abs. 1 VRPG). Da er gemäss den Akten in sehr bescheidenen wirtschaftlichen Verhältnissenlebt, wird jedoch in Anwendung von § 40 des Gerichtsgebührenreglements (GGR, SG 154.810) auf die Erhebung von Gerichtskosten für das verwaltungsgerichtliche Rekursverfahren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