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VD.2021.133 vom 17. August 2022</w:t>
      </w:r>
    </w:p>
    <w:p>
      <w:r>
        <w:t>BS Appellationsgericht, 2022-08-17, DE</w:t>
      </w:r>
    </w:p>
    <w:p>
      <w:r>
        <w:rPr>
          <w:b/>
        </w:rPr>
        <w:t xml:space="preserve">Quelle: </w:t>
      </w:r>
      <w:r>
        <w:t>https://mcp.opencaselaw.ch/entscheid/bs_appellationsgericht_VD.2021.133</w:t>
      </w:r>
    </w:p>
    <w:p>
      <w:r>
        <w:t>FR: BS_APPELLATIONSGERICHT VD.2021.133 du 17 août 2022</w:t>
      </w:r>
    </w:p>
    <w:p>
      <w:r>
        <w:t>IT: BS_APPELLATIONSGERICHT VD.2021.133 del 17 agosto 2022</w:t>
      </w:r>
    </w:p>
    <w:p>
      <w:pPr>
        <w:pStyle w:val="Heading2"/>
      </w:pPr>
      <w:r>
        <w:t>Erwägungen</w:t>
      </w:r>
    </w:p>
    <w:p>
      <w:r>
        <w:rPr>
          <w:b/>
        </w:rPr>
        <w:t>E. 1</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a.a.O., S. 477, 504; VGE VD.2021.95 vom 26. Oktober 2021 E. 1.3.2).</w:t>
      </w:r>
    </w:p>
    <w:p>
      <w:r>
        <w:rPr>
          <w:b/>
        </w:rPr>
        <w:t>E. 2</w:t>
      </w:r>
    </w:p>
    <w:p>
      <w:r>
        <w:t>2.1      Richtplan</w:t>
      </w:r>
    </w:p>
    <w:p>
      <w:r>
        <w:t>2.2      Abweichung von der Grundordnung</w:t>
      </w:r>
    </w:p>
    <w:p>
      <w:r>
        <w:t>2.3      Gewässerschutz und Koordinationspflicht</w:t>
      </w:r>
    </w:p>
    <w:p>
      <w:r>
        <w:t>2.4      Schattenwurf</w:t>
      </w:r>
    </w:p>
    <w:p>
      <w:r>
        <w:t>2.5      Interessenabwägung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