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VD.2020.74 vom 29. Oktober 2020</w:t>
      </w:r>
    </w:p>
    <w:p>
      <w:r>
        <w:t>BS Appellationsgericht, 2020-10-29, DE</w:t>
      </w:r>
    </w:p>
    <w:p>
      <w:r>
        <w:rPr>
          <w:b/>
        </w:rPr>
        <w:t xml:space="preserve">Quelle: </w:t>
      </w:r>
      <w:r>
        <w:t>https://mcp.opencaselaw.ch/entscheid/bs_appellationsgericht_VD.2020.74</w:t>
      </w:r>
    </w:p>
    <w:p>
      <w:r>
        <w:t>FR: BS_APPELLATIONSGERICHT VD.2020.74 du 29 octobre 2020</w:t>
      </w:r>
    </w:p>
    <w:p>
      <w:r>
        <w:t>IT: BS_APPELLATIONSGERICHT VD.2020.74 del 29 ottobre 2020</w:t>
      </w:r>
    </w:p>
    <w:p>
      <w:pPr>
        <w:pStyle w:val="Heading2"/>
      </w:pPr>
      <w:r>
        <w:t>Erwägungen</w:t>
      </w:r>
    </w:p>
    <w:p>
      <w:r>
        <w:rPr>
          <w:b/>
        </w:rPr>
        <w:t>E. 1</w:t>
      </w:r>
    </w:p>
    <w:p>
      <w:r>
        <w:t>1.1Die Zuständigkeit des Verwaltungsgerichts für die Beurteilung des vorliegenden Rekurses folgt aus dem Überweisungsbeschluss des Präsidialdepartements vom 26. März 2020 sowie § 42 des Organisationsgesetzes (OG, SG 153.100) in Verbindung mit § 12 des Gesetzes über die Verfassungs- und Verwaltungsrechtspflege (VRPG, SG 270.100). Zum Entscheid ist nach § 92 Abs. 1 Ziff. 11 des Gerichtsorganisationsgesetzes (GOG, SG 154.100) das Dreiergericht berufen.</w:t>
      </w:r>
    </w:p>
    <w:p>
      <w:r>
        <w:t>1.2Zum Rekurs an das Verwaltungsgericht ist gemäss § 13 Abs. 1 VRPG unter Vorbehalt besonderer, vorliegend nicht einschlägiger Vorschriften berechtigt, wer durch die angefochtene Verfügung berührt ist und ein schutzwürdiges Interesse an deren Aufhebung oder Änderung hat.</w:t>
      </w:r>
    </w:p>
    <w:p>
      <w:r>
        <w:t>1.2.1Gegenstand des vorliegenden Rekurses ist ein Feststellungsbegehren der Rekurrentin. Ein entsprechendes Rechtsschutzinteresse liegt dann vor, wenn die gesuchstellende Person ohne die verbindliche und sofortige Feststellung des Bestands, Nichtbestands oder Umfangs öffentlich-rechtlicher Rechte oder Pflichten Gefahr liefe, dass sie oder die Behörde ihr nachteilige Massnahmen treffen oder ihr günstige unterlassen würde. Dieses Interesse kann rechtlicher oder tatsächlicher Natur sein. Grundsätzlich muss auch das Feststellungsinteresse aktuell, individuell und konkret sein. Die festzustellende Rechtsfrage darf nicht abstrakter, rein theoretischer Natur sein, sondern muss einen Zusammenhang mit zu beurteilenden tatsächlichen Gegebenheiten aufweisen (Kölz/Häner/Bertschi, Verwaltungsverfahren und Verwaltungsrechtspflege des Bundes, 3. Aufl., Zürich 2013, N 340; vgl.Häner, in: Waldmann/Weissenberger [Hrsg.], Praxiskommentar Verwaltungsverfahrensgesetz, 2. Aufl., Zürich 2016, Art. 25 N 17;Schwank, Das verwaltungsinterne Rekursverfahren des Kantons Basel-Stadt, Diss. Basel 2003, S. 87; VGE VD.2018.29 vom 16. August 2018 E. 1.2.4).</w:t>
      </w:r>
    </w:p>
    <w:p>
      <w:r>
        <w:t>1.2.2Vorliegend zielt das Begehren nicht auf die Feststellung von Rechten und Pflichten, sondern auf jene des Einreisedatums der Rekurrentin und mithin auf Tatsachen. Wie bereits von der Vorinstanz im angefochtenen Entscheid ausgeführt, legt die Rekurrentin nicht ansatzweise dar, welche Rechte und Pflichten sich unmittelbar aus ihrem Einreisedatum ergeben würden. Es ist nicht erkennbar, wie die Feststellung resp. angebliche Berichtigung des Zeitpunkts ihrer Einreise ihre tatsächliche Situation unmittelbar beeinflussen könnte.</w:t>
      </w:r>
    </w:p>
    <w:p>
      <w:r>
        <w:t>Wie bereits mit der instruktionsrichterlichen Verfügung vom 23. Juni 2020 festgestellt wurde, entspricht es der Praxis, das Datum der erstmaligen Bewilligungserteilung als Einreisedatum in einer Bewilligung zu vermerken (vgl. VGE BE 100.2017.49 E. 2.1 [BVR 2018 S. 63, 65]; VGE SG B 2015/298 vom 30. Mai 2017 E. Aa; VGE ZH VB.2013.00418 vom 4. September 2013 E. 2; BGE 2C_304/2014 vom 26. Mai 2014 E. A). Wie dem angefochtenen Entscheid explizit entnommen werden kann, handelt es sich dabei nicht um das «tatsächliche», sondern um ein «konstruiertes Einreisedatum» (E. 2). Die Rekurrentin substantiiert mit ihrer Rekursbegründung vom 17. Mai 2020 nicht, welches schutzwürdige Interesse sie an der beantragten Korrektur des Einreisedatums in den Dokumenten des Migrationsamtes hat und wie dessen Korrektur ihre tatsächliche Situation unmittelbar beeinflussen könnte. Soweit sich die Rekurrentin zur Begründung eines Feststellungsanspruchs auf BGE 135 III 389 beruft, kann ihr nicht gefolgt werden. Dieser Entscheid bezieht sich auf Berichtigungen im Zivilstandsregister. Dieses dient als öffentliches Register dem Nachweis von Personenstandsdaten und erbringt damit für die beurkundeten Tatsachen den vollen Beweis, solange nicht die Unrichtigkeit des Inhalts nachgewiesen ist (vgl. Art. 9 Abs. 1 des Schweizerischen Zivilgesetzbuches [ZGB; SR 210]; Art. 8 der Zivilstandsverordnung [ZStV; SR 211.112.2];Graf-Gaiser/Siegenthaler, in: Amstutz et al. [Hrsg.], Handkommentar zum Schweizer Privatrecht, 3. Aufl., Zürich 2016, Art. 39 ZGB N 5). Das Berichtigungsverfahren ist daher explizit gesetzlich geregelt (Art. 42 f. ZGB). Die Rekurrentin macht nicht geltend und es ist auch nicht ersichtlich, welche Beweiskraft in Bezug auf welche Tatsachen der Nennung des massgeblichen Einreisedatums auf den migrationsrechtlichen Dokumenten zukommen sollte. Es ist in summarischer Prüfung auch nicht ersichtlich, warum ihr in späteren Verfahren nicht der Nachweis einer anderen, massgebenden Aufenthaltsdauer in der Schweiz möglich sein sollte, wenn sie daraus Rechte ableiten wollte.</w:t>
      </w:r>
    </w:p>
    <w:p>
      <w:r>
        <w:t>1.2.3Daraus folgt, dass auf den Rekurs mangels eines schutzwürdigen Feststellungsinteresses der Rekurrentin nicht eingetreten werden kann.</w:t>
      </w:r>
    </w:p>
    <w:p>
      <w:r>
        <w:rPr>
          <w:b/>
        </w:rPr>
        <w:t>E. 2</w:t>
      </w:r>
    </w:p>
    <w:p>
      <w:r>
        <w:t>Bei diesem Ausgang des Verfahrens trägt die Rekurrentin dessen Kosten (§ 30 Abs. 1 VRPG). Entsprechend der instruktionsrichterlichen Verfügung vom 23. Juni 2020 hat die Rekurrentin aufgrund der Aussichtslosigkeit ihres Begehrens keinen Anspruch auf unentgeltliche Rechtspflege. Ihrer finanziellen Situation ist aber bei der Bemessung der Gebühr Rechnung zu tragen. Diese ist auf den Betrag von CHF 300.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