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VD.2020.245 vom 18. Februar 2021</w:t>
      </w:r>
    </w:p>
    <w:p>
      <w:r>
        <w:t>BS Appellationsgericht, 2021-02-18, DE</w:t>
      </w:r>
    </w:p>
    <w:p>
      <w:r>
        <w:rPr>
          <w:b/>
        </w:rPr>
        <w:t xml:space="preserve">Quelle: </w:t>
      </w:r>
      <w:r>
        <w:t>https://mcp.opencaselaw.ch/entscheid/bs_appellationsgericht_VD.2020.245</w:t>
      </w:r>
    </w:p>
    <w:p>
      <w:r>
        <w:t>FR: BS_APPELLATIONSGERICHT VD.2020.245 du 18 février 2021</w:t>
      </w:r>
    </w:p>
    <w:p>
      <w:r>
        <w:t>IT: BS_APPELLATIONSGERICHT VD.2020.245 del 18 febbraio 2021</w:t>
      </w:r>
    </w:p>
    <w:p>
      <w:pPr>
        <w:pStyle w:val="Heading2"/>
      </w:pPr>
      <w:r>
        <w:t>Erwägungen</w:t>
      </w:r>
    </w:p>
    <w:p>
      <w:r>
        <w:rPr>
          <w:b/>
        </w:rPr>
        <w:t>E. 1</w:t>
      </w:r>
    </w:p>
    <w:p>
      <w:r>
        <w:t>1.1Die Zuständigkeit des Verwaltungsgerichts zur Beurteilung des vorliegenden Rekurses ergibt sich aus der Überweisung des Präsidialdepartements vom 9. Dezember 2020 sowie aus § 42 des Organisationsgesetzes (OG, SG 153.100) und § 12 des Verwaltungsrechtspflegegesetzes (VRPG, SG 270.100). Zum Entscheid ist das Dreiergericht berufen (§ 92 Abs. 1 Ziff. 11 des Gerichtsorganisationsgesetzes [GOG, SG 154.100]).</w:t>
      </w:r>
    </w:p>
    <w:p>
      <w:r>
        <w:rPr>
          <w:b/>
        </w:rPr>
        <w:t>E. 1.2.1</w:t>
      </w:r>
    </w:p>
    <w:p>
      <w:r>
        <w:t>1.2.1.1Zum Rekurs an das Verwaltungsgericht ist vorbehältlich besonderer Rekursrechte berechtigt, wer durch den angefochtenen Entscheid berührt ist und ein schutzwürdiges Interesse an dessen Aufhebung oder Änderung hat (§ 13 Abs. 1 VRPG). Diese Legitimationsvoraussetzungen entsprechen denjenigen von Art. 48 Abs. 1 des Bundesgesetzes über das Verwaltungsverfahren (VwVG, SR 172.021) und Art. 89 Abs. 1 des Bundesgesetzes über das Bundesgericht (BGG, SR 173.110) (VGE VD.2017.261 vom 21. September 2018 E. 3.1, VD.2017.103 vom 11. September 2017 E. 2.1; vgl. VGE VD.2015.198 vom 2. Mai 2016 E. 1.3.2;Stamm, Die Verwaltungsgerichtsbarkeit, in: Buser [Hrsg.], Neues Handbuch des Staats- und Verwaltungsrechts des Kantons Basel-Stadt, Basel 2008, S. 477, 497;Wullschleger/Schröder, Praktische Fragen des Verwaltungsprozesses im Kanton Basel-Stadt, in: BJM 2005, S. 277, 290). Die Rekurrentin muss durch den angefochtenen Entscheid stärker als jedermann betroffen sein und in einer besonderen, beachtenswerten, nahen Beziehung zur Streitsache stehen (VGE VD.2017.261 vom 21. September 2018 E. 3.1, VD.2018.14 vom 23. März 2018 E. 1.1, VD.2010.199 vom 19. April 2011 E. 1.2.1; vgl. VGE VD.2010.92 vom 16. August 2011 E. 1.2.2;Wullschleger/Schröder, a.a.O., S.  291; BGE 136 V 7 E. 2.1 S. 9 f., 135 II 430 E. 1.1 S. 433). Das Interesse der Rekurrentin kann rechtlicher oder tatsächlicher Natur sein (VGE VD.2017.261 vom 21. September 2018 E. 3.1, VD.2018.14 vom 23. März 2018 E. 1.1, VD.2017.103 vom 11. September 2017 E. 2.1;Wullschleger/Schröder, a.a.O., S. 291; vgl. BGE 136 V 7 E. 2.1 S. 9). Es muss sich aber um ein eigenes Interesse der Rekurrentin handeln (VGE VD.2017.261 vom 21. September 2018 E. 3.1, VD.2018.14 vom 23. März 2018 E. 1.1, VD.2017.103 vom 11. September 2017 E. 2.1;Stamm, a.a.O., S. 497; vgl. BGE 136 II 539 E. 1.1 S. 542, 133 II 249 E. 1.3.3. S. 254).Um schutzwürdig zu sein, muss das Interesse zudem aktuell sein (VGE VD.2019.189 vom 27. Oktober 2020 E. 1.2.1.2, VD.2017.261 vom 21. September 2018 E. 3.1, VD.2018.14 vom 23. März 2018 E. 1.1, VD.2010.199 vom 19. April 2011 E. 1.2.1;Wullschleger/Schröder, a.a.O., S. 292; vgl. BGE 135 II 430 E. 2.1 S. 434).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VD.2019.189 vom 27. Oktober 2020 E. 1.2.1.2, VD.2017.264 vom 30. Mai 2018 E. 1.2.1, VD.2017.86 und VD.2017.175 vom 24. November 2017 E. 1.3.1;Wullschleger/Schröder, a.a.O., S. 292). Dabei muss dem drohenden Nachteil eine nicht unbedeutende Schwere zukommen und muss der Schadenseintritt relativ wahrscheinlich sein. Geringfügige, unwahrscheinliche Beeinträchtigungen reichen nicht aus (VGE VD.2019.189 vom 27. Oktober 2020 E. 1.2.1.2; vgl. BVGer B-1561/2016 und B-4177/2016 vom 21. März 2018 E. 1.3.2.3;Moser/Beusch/Kneubühler, Prozessieren vor dem Bundesverwaltungsgericht, 2. Auflage, Basel 2013, Rz. 2.67). Wenn der Nachteil auch bei Gutheissung des Rekurses nicht mehr behoben werden könnte, fehlt es an einem aktuellen praktischen Interesse. Dies ist beispielsweise dann der Fall, wenn der angefochtene Akt im Zeitpunkt des Urteils keine Rechtswirkung mehr entfalten kann, weil das Ereignis, auf das er sich bezieht, bereits stattgefunden hat (VGE VD.2019.189 vom 27. Oktober 2020 E. 1.2.1.2; vgl. BVGer B-1561/2016 und B-4177/2016 vom 21. März 2018 E. 1.3.2.3). Kein ausreichendes Rechtsschutzinteresse besteht auch dann, wenn die Interessen in einem anderen Verfahren gewahrt werden können (VGE VD.2019.189 vom 27. Oktober 2020 E. 1.2.1.2; vgl. BVGer A-5042/2018 vom 22. März 2019 E. 2.2, mit Hinweisen). Da ein Strafgericht nicht an die einem Strafverfahren zugrunde liegende Verfügung gebunden ist und deren Rechtmässigkeit überprüfen darf, wenn sie nicht von einem Verwaltungsgericht überprüft werden konnte, lässt sich das aktuelle schutzwürdige Interesse nicht mit einem allfälligen Strafverfahren begründen (vgl. BGer 2C_598/2010 vom 11. März 2011 E. 3.2;Marantelli/Huber, in: Waldmann/Weissenberger [Hrsg.], Praxiskommentar VwVG, 2. Auflage, Zürich 2016, Art. 48 N 16 S. 977). Mit dem Erfordernis des aktuellen Rechtsschutzinteresses wird sichergestellt, dass dem Gericht nur konkrete und nicht bloss theoretische oder abstrakte Rechtsfragen unterbreitet werden (VGE VD.2019.189 vom 27. Oktober 2020 E. 1.2.1.2, VD.2017.264 vom 30. Mai 2018 E. 1.2.1, VD.2014.248 vom 7. Juni 2016 E. 1.2.1). Es darf namentlich nicht Aufgabe staatlicher Behörden sein, Rechtsgutachten zu erstatten (VGE VD.2019.189 vom 27. Oktober 2020 E. 1.2.1.2; vgl. BVGer B-3694/2010 vom 6. April 2011 E. 2.1.2).</w:t>
      </w:r>
    </w:p>
    <w:p>
      <w:r>
        <w:t>1.2.1.2Aufgrund ihrer prozessualen Pflicht, ihren Rekurs zu begründen (§ 16 Abs. 2 VRPG), hat die Rekurrentin die Voraussetzungen ihrer Legitimation substanziiert darzulegen, soweit sie nicht ohne Weiteres ersichtlich sind (VGE VD.2017.261 vom 21. September 2018 E. 3.6; vgl. BGE 139 II 328 E. 4.5 S. 337;Häner, in: Auer et al. [Hrsg.], VwVG Kommentar, 2. Auflage, Zürich 2019, Art. 48  N 2;Marantelli/Huber, in: Waldmann/Weissenberger [Hrsg.], Praxiskommentar VwVG, 2. Auflage, Zürich 2016, Art. 48 N 5;Wullschleger/Schröder, a.a.O., S. 291).</w:t>
      </w:r>
    </w:p>
    <w:p>
      <w:r>
        <w:t>1.2.1.3Fehlt das aktuelle Rechtsschutzinteresse bei der Einreichung des Rekurses, so ist auf diesen nicht einzutreten; fällt es im Verlauf des Rekursverfahrens dahin, so wird das Verfahren als gegenstandslos abgeschrieben (VGE VD.2019.189 vom 27. Oktober 2020 E. 1.2.1.3, VD.2017.264 vom 30. Mai 2018 E. 1.2.1, VD.2016.170 vom 21. August 2017 E. 1.3.1, VD.2010.12 vom 27. Oktober 2010 E. 2.6; vgl. BGE 142 I 135 E. 1.3.1 S. 143).</w:t>
      </w:r>
    </w:p>
    <w:p>
      <w:r>
        <w:t>1.2.1.4Wenn sich der gerügte Eingriff jederzeit wiederholen kann, seine rechtzeitige Überprüfung auf dem Rekursweg jedoch wegen der Dauer des Verfahrens kaum je möglich und deshalb kein endgültiger Entscheid in Grundsatzfragen herbeizuführen ist, verzichtet das Verwaltungsgericht ausnahmsweise auf das Erfordernis des aktuellen Interesses (VGE VD.2019.189 vom 27. Oktober 2020 E. 1.2.1.3, VD.2019.101 vom 3. Februar 2020 E. 1.2.2, VD.2016.153 vom 8. Juni 2017 E. 1.2, VD.2011.150 vom 5. August 2012 E. 3.1;Wullschleger/Schröder, a.a.O., S. 293).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 1.1 S. 208, je mit Hinweisen; BGer 2C_1052/2016 und 2C_1053/2016 vom 26. April 2017 E. 1.3, mit Hinweisen).</w:t>
      </w:r>
    </w:p>
    <w:p>
      <w:r>
        <w:rPr>
          <w:b/>
        </w:rPr>
        <w:t>E. 1.2.2</w:t>
      </w:r>
    </w:p>
    <w:p>
      <w:r>
        <w:t>1.2.2.1Die Feststellungen in den Ziff. 1 bis</w:t>
      </w:r>
    </w:p>
    <w:p>
      <w:r>
        <w:rPr>
          <w:b/>
        </w:rPr>
        <w:t>E. 1.2.3</w:t>
      </w:r>
    </w:p>
    <w:p>
      <w:r>
        <w:t>1.2.3.1Die Rekurrentin ficht mit ihrem Rekurs auch den Kostenentscheid des WSU an. Da sie ihren diesbezüglichen Antrag nicht weiter begründet, ist davon auszugehen, dass sie implizit geltend macht, der Kostenentscheid des WSU sei aufgrund der angeblich falschen Beurteilung in der Hauptsache rechtswidrig.</w:t>
      </w:r>
    </w:p>
    <w:p>
      <w:r>
        <w:t>1.2.3.2Diesbezüglich besteht trotz fehlendem Rechtsschutzinteresse in der Hauptsache noch ein rechtlich geschütztes Interesse an der Überprüfung (VGE VD.2019.189 vom 27. Oktober 2020 E. 1.2.2.2; vgl. BGE 100 Ia 298 E. 4 S. 298 ff.). Wenn auf den Rekurs in der Hauptsache mangels eines aktuellen Rechtsschutzinteresses nicht einzutreten ist, kann die rekurrierende Person aber nicht indirekt über den Kostenentscheid eine volle Überprüfung des Entscheids in der Hauptsache mit dem damit verbundenen Aufwand erlangen. Falls die Vorinstanz die Kosten nach dem Unterliegerprinzip der rekurrierenden Partei auferlegt hat, kann  abgesehen von Rügen, die sich nicht auf den Verfahrensausgang in der Hauptsache beziehen  lediglich geltend gemacht werden, der Kostenentscheid sei fehlerhaft, weil der Hauptsachenentscheid im Ergebnis nicht haltbar sei. In diesem Fall ändert das Verwaltungsgericht den Kostenentscheid der Vorinstanz, wenn sich ihr Sachentscheid bei summarischer Prüfung des mutmasslichen Verfahrensausgangs auf der Grundlage der vorliegenden Akten unschwer als falsch bzw. ohne weiteres als unzutreffend herausstellt (VGE VD.2019.189 vom 27. Oktober 2020 E. 1.2.2.2; vgl. VGE VD.2016.170, 171, 184 und 193 vom 21. August 2017 E. 2.1; KGer BL 810 18 310 vom 15. Juli 2019 E. 9.2; VGer ZH VB.2017.00463 vom 21. Dezember 2017 E. 3.5;Donatsch, in: Griffel [Hrsg.], Kommentar zum Verwaltungsrechtspflegegesetz des Kantons Zürich, 3. Auflage, Zürich 2014, § 63 N 8;Plüss, in: Griffel [Hrsg.], Kommentar zum Verwaltungsrechtspflegegesetz des Kantons Zürich, 3. Auflage, Zürich 2014, § 13 N 77). Bei der Beurteilung des mutmasslichen Verfahrensausgangs geht es nicht darum, die Prozessaussichten im Einzelnen zu prüfen und dadurch weitere Umtriebe zu verursachen. Insbesondere ist es in diesem Rahmen nicht Aufgabe des Gerichts, eine heikle Rechtsfrage zu präjudizieren. Vielmehr soll es bei einer knappen Beurteilung der Aktenlage sein Bewenden haben, wobei dem Gericht ein Beurteilungsspielraum eröffnet wird (VGE VD.2019.189 vom 27. Oktober 2020 E. 1.2.2.2; vgl. BGE 142 V 551 E. 8.2 S. 568; BGer 4A_24/2019 vom 26. Februar 2019 E. 1.2, 2C_729/2017 und 2C_741/2017 vom 4. Januar 2019 E. 3.3, 1C_176/2018 vom 8. August 2018 E. 2.1, 1B_115/2017 vom 12. Juni 2017 E. 2.3.1; KGer BL 810 18 310 vom 15. Juli 2019 E. 9.2).</w:t>
      </w:r>
    </w:p>
    <w:p>
      <w:r>
        <w:t>2.</w:t>
      </w:r>
    </w:p>
    <w:p>
      <w:r>
        <w:t>2.1Das WSU erwog, die Einsätze seien nicht als Entsendung zu qualifizieren, wenn die drei Damen dem Weisungsrecht der Rekurrentin unterstanden haben. Wenn keine Entsendung vorgelegen habe, müsse von einem Stellenantritt bei der Rekurrentin ausgegangen werden, weil Personalverleih vom Ausland in die Schweiz unzulässig sei (vgl. angefochtener Entscheid E. 5 und 10 f.). Gegen diese rechtliche Einschätzung der Vorinstanz bringt die Rekurrentin keine begründeten Rügen vor.</w:t>
      </w:r>
    </w:p>
    <w:p>
      <w:r>
        <w:t>2.2</w:t>
      </w:r>
    </w:p>
    <w:p>
      <w:r>
        <w:t>2.2.1Das WSU erwog, eine Gesamtwürdigung der Umstände des vorliegenden Falls ergebe, dass die drei Damen dem Weisungsrecht der Rekurrentin unterstanden hätten (angefochtener Entscheid E. 10). Es stellte diverse Indizien fest und begründete, weshalb diese dafür sprächen, dass die Damen in den Betrieb der Rekurrentin eingegliedert worden seien und das Weisungsrechts auf die Rekurrentin übergegangen sei bzw. dass eine Entsendungssituation zwecks Umgehung der gesetzlichen Vorgaben konstruiert worden sei (vgl. angefochtener Entscheid E. 6-9).</w:t>
      </w:r>
    </w:p>
    <w:p>
      <w:r>
        <w:t>2.2.2Die Rekurrentin bestreitet teilweise das Vorliegen der vom WSU festgestellten Indizien (vgl. insb. Rekursbegründung Ziff. 65, 74, 77 f., 81, 84, 86 f., 91 und 104). Sie begründet dies insbesondere damit, dass die Erkenntnisse aus dem Polizeieinsatz vom 19. August 2019 und den anschliessenden Befragungen von E____ und G____ nicht verwertbar seien (vgl. insb. Rekursbegründung Ziff. 65, 74, 81 und 104). Beim Polizeieinsatz vom 19. August 2019 habe sich ein Polizist als Privatperson ausgegeben und sich als Kunde im Einsatzbetrieb angemeldet. Bei diesem Vorgehen handle es sich um eine verdeckte Ermittlung. Die rechtlichen Voraussetzungen einer verdeckten Ermittlung seien nicht erfüllt gewesen (Rekursbegründung Ziff. 24). Der von der Rekurrentin behauptete Umstand, dass sich ein Polizist als Privatperson ausgibt und sich als Kunde in einem Betrieb anmeldet, genügt bei provisorischer Prüfung nicht, um den Einsatz als verdeckte Ermittlung zu qualifizieren. Die Strafprozessordnung (StPO, SR 312.0) unterscheidet zwischen verdeckter Ermittlung (vgl. Art. 285a StPO) und verdeckter Fahndung (vgl. Art. 298a StPO). Da die Rekurrentin nicht einmal behauptet, dass der Polizist mit einer urkundengestützten Legende ausgestattet gewesen sei, ist bei summarischer Prüfung davon auszugehen, dass es sich beim Polizeieinsatz vom 19. August 2019 höchstens um eine verdeckte Fahndung gehandelt hat. Dass die Voraussetzungen einer verdeckten Fahndung (Art. 298b Abs. 1 StPO) nicht erfüllt gewesen seien, macht die Rekurrentin nicht geltend. Weshalb die Erkenntnisse aus den Befragungen von E____ und G____ nicht verwertbar sein sollten, ist bei summarischer Prüfung nicht nachvollziehbar.</w:t>
      </w:r>
    </w:p>
    <w:p>
      <w:r>
        <w:t>Weiter versucht die Rekurrentin in ihrer Rekursbegründung darzulegen, weshalb die vom WSU festgestellten Indizien nicht gegen eine Entsendung sprechen sollten (vgl. insb. Rekursbegründung Ziff. 59-64, 66-73, 75 f., 79 f., 82-84, 88-90, 92-95 und 99). Isoliert betrachtet mag die Relevanz eines Teils der vom WSU festgestellten Umstände für die Frage der Entsendung aufgrund der Erklärungen der Rekurrentin fraglich erscheinen. Aufgrund der grossen Zahl für eine Entsendung unüblicher Umstände sind die Vorbringen der Rekurrentin bei einer summarischen Gesamtbetrachtung aber nicht geeignet, die Feststellungen des WSU ohne weiteres als unzutreffend erscheinen zu lassen.</w:t>
      </w:r>
    </w:p>
    <w:p>
      <w:r>
        <w:t>2.3Die summarische Kontrolle des angefochtenen Entscheids, auf den hier vollumfänglich verwiesen wird, ergibt somit, dass dieser nicht unschwer als falsch bezeichnet werden kann und der Rekurs vom Verwaltungsgericht mutmasslich abgewiesen worden wäre. Dass der vorinstanzliche Kostenentscheid aus einem anderen Grund als dem Verfahrensausgang abzuändern wäre, macht die Rekurrentin zu Recht nicht geltend. Damit ist der Kostenentscheid des WSU zu bestätigen.</w:t>
      </w:r>
    </w:p>
    <w:p>
      <w:r>
        <w:rPr>
          <w:b/>
        </w:rPr>
        <w:t>E. 3</w:t>
      </w:r>
    </w:p>
    <w:p>
      <w:r>
        <w:t>Aus den vorstehenden Erwägungen folgt, dass auf den Rekurs in der Hauptsache nicht einzutreten ist und der Rekurs im Kostenpunkt abzuweisen ist. Bei diesem Ausgang des Verfahrens hat die Rekurrentin die Kosten des verwaltungsgerichtlichen Rekursverfahrens zu tragen (§ 30 Abs. 1 VRPG). Die Gebühr wird in Anwendung von § 23 des Gerichtsgebührenreglements (SG 154.810) auf CHF 1200.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