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VD.2020.231 vom 5. November 2020</w:t>
      </w:r>
    </w:p>
    <w:p>
      <w:r>
        <w:t>BS Appellationsgericht, 2020-11-05, DE</w:t>
      </w:r>
    </w:p>
    <w:p>
      <w:r>
        <w:rPr>
          <w:b/>
        </w:rPr>
        <w:t xml:space="preserve">Quelle: </w:t>
      </w:r>
      <w:r>
        <w:t>https://mcp.opencaselaw.ch/entscheid/bs_appellationsgericht_VD.2020.231</w:t>
      </w:r>
    </w:p>
    <w:p>
      <w:r>
        <w:t>FR: BS_APPELLATIONSGERICHT VD.2020.231 du 5 novembre 2020</w:t>
      </w:r>
    </w:p>
    <w:p>
      <w:r>
        <w:t>IT: BS_APPELLATIONSGERICHT VD.2020.231 del 5 novembre 2020</w:t>
      </w:r>
    </w:p>
    <w:p>
      <w:pPr>
        <w:pStyle w:val="Heading2"/>
      </w:pPr>
      <w:r>
        <w:t>Erwägungen</w:t>
      </w:r>
    </w:p>
    <w:p>
      <w:r>
        <w:rPr>
          <w:b/>
        </w:rPr>
        <w:t>E. 1</w:t>
      </w:r>
    </w:p>
    <w:p>
      <w:r>
        <w:t>1.1Gegen Entscheide der KESB kann Beschwerde an das Verwaltungsgericht geführt werden (Art. 450 Abs. 1 ZGB sowie § 17 Abs. 1 des kantonalen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Zivilprozessordnung (ZPO, SR 272) in sinngemässer Ergänzung der kantonalen Erlasse (§ 19 Abs. 1 KESG).</w:t>
      </w:r>
    </w:p>
    <w:p>
      <w:r>
        <w:t>1.2Zur Beschwerde befugt sind gemäss Art. 450 Abs. 2 Ziff. 1 ZGB die am Verfahren beteiligten Personen. Als von der Verbeiständung betroffene Person ist die Beschwerdeführerin zur Beschwerde legitimiert.</w:t>
      </w:r>
    </w:p>
    <w:p>
      <w:r>
        <w:t>1.3Die Beschwerde ist zu begründen (Art. 450 Abs. 3 ZGB) und innert 30 Tagen einzureichen (Art. 450b Abs. 1 ZGB). 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6. Auflage 2018,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w:t>
      </w:r>
    </w:p>
    <w:p>
      <w:r>
        <w:t>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Erwachsenenschutzrecht das sogenannte Rügeprinzip gilt (VGE VD.2017.23 vom 2. Mai 2017, VD.2016.158 vom 12. April 2017).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(Droese/Steck, a.a.O., Art. 450 ZGB N 42, mit Hinweisen).</w:t>
      </w:r>
    </w:p>
    <w:p>
      <w:r>
        <w:t>1.4Vorliegend kommt der Wille der anwaltlich nicht vertretenen Beschwerdeführerin, trotz nur knapper Begründung ihrer schriftlichen Eingabe, genügend zum Ausdruck. Auf die rechtzeitig erhobene Beschwerde ist daher einzutreten (Art. 450 Abs. 3 in Verbindung mit Art. 450b Abs. 1 ZGB).</w:t>
      </w:r>
    </w:p>
    <w:p>
      <w:r>
        <w:rPr>
          <w:b/>
        </w:rPr>
        <w:t>E. 2</w:t>
      </w:r>
    </w:p>
    <w:p>
      <w:r>
        <w:t>Mit ihrer Beschwerde dankt die Beschwerdeführerin für das freundliche Angebot einer Beistandschaft, macht aber geltend, dass sie sich entschlossen habe, ihre «bisherigen Haus- und Bürofacharbeiten weiter selber auszuführen». Diese seien «jedenfalls sehr spezifisch und nicht übertragbar».</w:t>
      </w:r>
    </w:p>
    <w:p>
      <w:r>
        <w:rPr>
          <w:b/>
        </w:rPr>
        <w:t>E. 3</w:t>
      </w:r>
    </w:p>
    <w:p>
      <w:r>
        <w:t>In der Sache strittig ist damit die von der Erwachsenenschutzbehörde mit dem angefochtenen Entscheid vom 5. November 2020 angeordnete Vertretungsbeistandschaft mit Vermögensverwaltung gemäss Art. 394 Abs. 1 in Verbindung mit Art. 395 Abs. 1 ZGB.</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des Beistands im Zusammenhang mit der Vermögensverwaltung (VGE VD.2019.21 vom 13. Juni 2019 E. 3.1).</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a.a.O.Art.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 VGE VD.2019.21 vom 13. Juni 2019 E. 3.2).</w:t>
      </w:r>
    </w:p>
    <w:p>
      <w:r>
        <w:t>3.3Zur Begründung der Errichtung der Beistandschaft für die Beschwerdeführerin bezog sich die Erwachsenenschutzbehörde auf die vorgenannten Grundsätze und erwog, dass die Beschwerdeführerin nach dem Spitalaustritt aus dem B____ mit umfassender Unterstützung der Spitex, ihrer jahrelangen privaten Putzhilfe sowie zweier Bekannter, welche sie als ihre Adoptivkinder bezeichne, in ihre Wohnung zurückkehre. Zu den beiden Bekannten, E____ und F____, habe die Beschwerdeführerin ein sehr vertrauensvolles Verhältnis. Auch habe sie F____ möglicherweise Bankvollmachten ausgestellt und gemäss eigenen Aussagen beiden grössere Summen Geld geschenkt (angefochtener Entscheid, S. 1). Die Bekannten würden sie nach Angaben der Spitex aber nicht mehr so häufig besuchen. Bei Besuchen erfolge jedoch immer ein Gang zur Bank, wo sie zu Gunsten von E____ und F____ Bargeld abhebe. Zudem würden gemäss einer Äusserung der Putzhilfe möglicherweise auch Kunstgegenstände fehlen. Bei zwei Besuchen einer Vertreterin der Erwachsenschutzbehörde habe der Schwächezustand und die Hilfs- und Schutzbedürftigkeit der Beschwerdeführerin festgestellt werden können. Sie sei aufgrund ihres Alters und ihrer gesundheitlichen Situation nicht mehr in der Lage ihre Angelegenheiten selbständig zu erledigen. So habe sie selber erklärt, keinen Überblick mehr über ihre Finanzen zu haben. Sie wisse aber, dass sie vermögend sei (angefochtener Entscheid, S. 2). Eine parallele bzw. gleichzeitige Verfügungsberechtigung der Beschwerdeführerin sei für die Beistandsperson aus vermögensverwaltungs-, verantwortungs- sowie strafrechtlichen Gründen nicht zumutbar. Deshalb sei es gerechtfertigt und verhältnismässig, ihr gestützt auf Art. 395 Abs. 3 ZGB ohne Handlungsfähigkeitseinschränkung den Zugriff auf alle bereits bestehenden sowie noch zu eröffnenden Konto- und Depotbeziehungen, mit Ausnahme des von der Beistandsperson zu bezeichnenden Kontos mit den von dieser zu bestimmenden und zu überweisenden Beträgen zur freien Verfügung gemäss Art. 409 ZGB, zu entziehen (angefochtener Entscheid, S. 1 f.).</w:t>
      </w:r>
    </w:p>
    <w:p>
      <w:r>
        <w:rPr>
          <w:b/>
        </w:rPr>
        <w:t>E. 3.4</w:t>
      </w:r>
    </w:p>
    <w:p>
      <w:r>
        <w:t>3.4.1Aus den Akten ergibt sich zunächst ein ärztlich attestierter Schwächezustand. Die Beschwerdeführerin leidet an einer schwer fortgeschrittenen Demenz vom Alzheimer-Typ, aufgrund derer sie krankheitsbedingt nicht in der Lage ist, die Tragweite allfälliger Entscheidungen zu überblicken. Am 28. August 2020 wurde sie nach einem Sturz unterernährt, mit einem Körpergewicht von nur noch 44 Kilogramm, im B____ aufgenommen (vgl. Schreiben B____ vom 16. September 2020 [act. 5 S. 121 ff.]; Aktennotiz Telefonat mit Sozialarbeiterin des B____ [act. 5 S. 102]).</w:t>
      </w:r>
    </w:p>
    <w:p>
      <w:r>
        <w:t>Weiter erscheint erstellt, dass die Beschwerdeführerin auch bezüglich ihrer täglichen Betreuung der Unterstützung bedarf, wie sie im Anschluss an ihren Aufenthalt im B____ vom dortigen Sozialdienst mit der Spitex und ihrer langjährigen privaten Putzhilfe organisiert wurde (Aktennotiz Telefonat mit Sozialdienst B____ vom 13. Oktober 2020 [act. 5 S. 102]; Aktennotiz Telefonat mit Spitex vom 13. Oktober 2020 [act. 5 S. 103]). Zudem kauft eine Nachbarin weiterhin (online) für sie ein (vgl. Aktennotiz Telefonat mit Sozialarbeiterin des B____ vom 13. Oktober 2020 [act. 5 S. 103]). Nach der Rückkehr in ihre Wohnung hat sich der Allgemeinzustand der Beschwerdeführerin aufgrund der zweimal täglich erfolgenden Unterstützung durch die Spitex und des Mahlzeitendienstes verbessert. Sie hat an Gewicht zugenommen, ist nicht mehr so verwirrt und hat eine bessere Orientierung (vgl. Aktennotiz Telefonat mit Spitex vom 13. Oktober 2020 [act. 5 S. 103]).</w:t>
      </w:r>
    </w:p>
    <w:p>
      <w:r>
        <w:t>3.4.2Betreffend die finanziellen Belange der Beschwerdeführerin kann den Kontoauszügen entnommen werden, dass die regelmässigen Belastungen (Miete, Krankenkasse etc.) im Lastschriftverfahren erfolgen (vgl. Kontoauszug D____ Sparkonto [...] [act. 5 S. 50 ff.] und Kontoauszug D____ [...] [act. 5 S. 42 ff.]) und dass bis auf eine erledigte Betreibung aus dem Jahr 2019 keine Zwangsvollstreckungsverfahren gegen die Beschwerdeführerin angestrengt werden mussten. Gegenüber der Erwachsenenschutzbehörde gab die Beschwerdeführerin jedoch an, keinen Überblick mehr über ihre Finanzen zu haben (Aktennotiz Besuch bei der Beschwerdeführerin vom 30. Oktober 2020 [act. 5 S. 38]).</w:t>
      </w:r>
    </w:p>
    <w:p>
      <w:r>
        <w:t>Die diesbezügliche Unterstützung der Beschwerdeführerin ist vorliegend nicht durch das persönliche Umfeld gewährleistet. Die Beschwerdeführerin ist geschieden, hat keine leiblichen Kinder und lebt alleine in einer Dreizimmer-Mietwohnung ohne Lift im 2. Stock eines Mehrfamilienhauses (Bericht Abklärung Erwachsenenschutz [act. 5 S. 74]; Aktennotiz Besuch bei der Beschwerdeführerin vom 16. Oktober 2020 [act. 5 S. 100]). Sie hat zwei Bezugspersonen, die Ehegatten E____ und F____, welche sie als ihre «Adoptivkinder» bzw. «Herzenskinder» bezeichnet. Über die Entstehung dieser Beziehung und deren Hintergründe kann die Beschwerdeführerin keine Angaben machen (vgl. Aktennotiz Hausbesuch vom 16. Oktober 2020 [act. 5 S. 100]; Verhandlungsprotokoll, S. 3). Gemäss der Aussage von F____ soll die Bekanntschaft vor fünf Jahren in einer Galerie entstanden sein und auf dem gemeinsamen Interesse für Kunst beruhen (Aktennotiz Gespräch mit F____ vom 13. November 2020 [act. 5 S. 21]). Herr F____ und Frau E____ sind zwar offensichtlich Vertraute der Beschwerdeführerin, die regen und herzlichen Kontakt mit ihr pflegen (vgl. Schreiben B____ vom 16. September 2020 [act. 5 S. 121 ff.], Aktennotiz Telefonat mit Spitex vom 13. Oktober 2020 [act. 5 S. 103]), kommen aber als Beistandspersonen nicht in Frage. Dies ergibt sich bereits aus der Erklärung von F____, froh zu sein, dass «jemand Professionelles» sich nun um die Belange der Beschwerdeführerin kümmere (Aktennotiz Gespräch mit F____ vom 13. November 2020 [act. 5 S. 21]). Hinzu kommt, dass beide nicht Deutsch sprechen, erfolgte die Kommunikation mit ihnen doch auf Englisch (Aktennotiz Gespräch mit F____ vom 13. November 2020 [act. 5 S. 21] und Aktennotiz Telefonat mit Sozialdienst B____ vom 13. Oktober 2020 [act. 5 S. 102]). Es kann daher offenbleiben, welche Motive hinter der seit rund fünf Jahren bestehenden Bekanntschaft der Beschwerdeführerin mit dem Ehepaar auf dessen Seite bestehen.</w:t>
      </w:r>
    </w:p>
    <w:p>
      <w:r>
        <w:t>Teilweise erstellt und teilweise höchst wahrscheinlich ist, dass zu Gunsten von F____ und E____ Schenkungen in beträchtlichem Umfang erfolgt sind. Die Beschwerdeführerin selber gab bei ihrem Aufenthalt im B____ an, ihren «Adoptivkindern» etwa CHF 160'000. geschenkt zu haben (Schreiben B____ vom 16. September 2020 [act. 5 S. 121 ff.]) und auch F____ bestätigte, dass es der Wunsch der Beschwerdeführerin gewesen sei, ihm und seiner Frau Geld zu schenken (Aktennotiz Gespräch mit F____ vom 13. November 2020 [act. 5 S. 21]). So wurden im Jahr 2020 immer wieder grössere Beträge abgehoben bzw. eine Überweisung vorgenommen, worüber sich die Kundenberaterin der D____ besorgt zeigte (18. Mai 2020: CHF 10'000. [Auszahlung [...]], 25. Mai 2020: CHF 2'000. [Auszahlung [...]], 15. Juni 2020: CHF 2'000. [Auszahlung [...]], 16. Juni 2020: CHF 10'000 [Zahlungsauftrag «Geschenk für E____»]; vgl. Kontoauszug D____ [...] [act. 5 S. 42 ff.]; Aktennotiz Telefonat mit Kundenberaterin der D____ vom 23. Oktober 2020 [act. 5 S. 98]; Verhandlungsprotokoll, S. 7). Die Zuwendungen haben dabei nicht zu einem Vermögensabbau geführt, ist dieses im Jahr 2020 doch bis Ende Oktober 2020 sogar um CHF 23'365.85 angewachsen (vgl. Kontoauszug D____ [...] [act. 5 S. 50 ff.] und Kontoauszug D____ [...] [act.</w:t>
      </w:r>
    </w:p>
    <w:p>
      <w:r>
        <w:rPr>
          <w:b/>
        </w:rPr>
        <w:t>E. 5</w:t>
      </w:r>
    </w:p>
    <w:p>
      <w:r>
        <w:t>Gemäss den vorstehenden Erwägungen ist die Beschwerde abzuweisen. Bei diesem Ausgang des Verfahrens trägt die anwaltlich nicht vertretene Beschwerdeführerin dessen Kosten mit einer Gebühr von CHF 800. (vgl. § 30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