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VD.2020.205 vom 18. November 2020</w:t>
      </w:r>
    </w:p>
    <w:p>
      <w:r>
        <w:t>BS Appellationsgericht, 2020-11-18, DE</w:t>
      </w:r>
    </w:p>
    <w:p>
      <w:r>
        <w:rPr>
          <w:b/>
        </w:rPr>
        <w:t xml:space="preserve">Quelle: </w:t>
      </w:r>
      <w:r>
        <w:t>https://mcp.opencaselaw.ch/entscheid/bs_appellationsgericht_VD.2020.205</w:t>
      </w:r>
    </w:p>
    <w:p>
      <w:r>
        <w:t>FR: BS_APPELLATIONSGERICHT VD.2020.205 du 18 novembre 2020</w:t>
      </w:r>
    </w:p>
    <w:p>
      <w:r>
        <w:t>IT: BS_APPELLATIONSGERICHT VD.2020.205 del 18 novembre 2020</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werden. Zuständig ist das Dreiergericht (§ 92 Abs. 1 Ziff. 10 des Gerichtsorganisationsgesetzes [GOG, SG 154.100]).</w:t>
      </w:r>
    </w:p>
    <w:p>
      <w:r>
        <w:t>Auf die Beschwerde ist insoweit nicht einzutreten, als die Beschwerdeführerin eine «Wiederholung dieser Instruktionsverhandlung» beantragt. Aus dem Gesamtkontext ihrer Ausführungen ergibt sich, dass sie damit die Verhandlung vom 27. Januar 2020 meint, an welcher die streitbetroffene, rechtskräftig genehmigte Vereinbarung vom 27. Januar 2020 geschlossen wurde. Da es sich hierbei um eine zivilrechtliche Angelegenheit handelte, ist das Verwaltungsgericht zur Behandlung des Antrags der Beschwerdeführerin in sachlicher Hinsicht offensichtlich nicht zuständig.</w:t>
      </w:r>
    </w:p>
    <w:p>
      <w:r>
        <w:t>1.2Im Beschwerdeverfahren kommen die Verfahrensbestimmungen des ZGB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gemäss Art. 450 Abs. 2 Ziff. 1 ZGB die am Verfahren beteiligten Personen. Als von der Verbeiständung betroffene Person ist die Beschwerdeführerin damit grundsätzlich zur Beschwerde legitimiert. Um rechtsgültig Beschwerde zu erheben, bedarf es jedoch der Prozessfähigkeit der beschwerdeführenden Person, wofür grundsätzlich Urteilsfähigkeit erforderlich ist (vgl. Art. 59 Abs. 2 lit. c in Verbindung mit Art. 67 ZPO). Die KESB stellte fest, Abklärungen hätten ergeben, dass die Beschwerdeführerin aufgrund ihrer gesundheitlichen Situation (paranoide Schizophrenie, vgl. dazu act. 3 S. 562 ff., Entscheid der KESB vom 27. März 2015, sowie act. 3 S. 520 ff., Entscheid der KESB vom 26. Juni 2015) nicht mehr ausreichend in der Lage sei, ihre Angelegenheiten selbständig zu erledigen. Aufgrund ihrer gesundheitlichen Situation benötige sie Unterstützung im Bereich Wohnen (angefochtener Entscheid, E. 14). Da der angefochtene Entscheid die zukünftige Wohnsituation der Beschwerdeführerin, mithin ein höchstpersönliches Recht beschlägt, genügt im vorliegenden Beschwerdeverfahren für die Beschwerdebefugnis die Urteilsfähigkeit bezogen auf diesen Streitgegenstand (BGer 5A_884/2010 vom 7. Januar 2011 E. 2.1;Droese/Steck, in: Basler Kommentar, 6. Auflage 2018, Art. 450 ZGB N 27; vgl. auch Art. 67 Abs. 3 ZPO). Zudem muss eine Person auch Gelegenheit haben, sich gegen die Verneinung ihrer Prozessfähigkeit zur Wehr zu setzen (BGer 5A_194/2011 vom 30. Mai 2011 E. 3.2). Daraus folgt, dass an die Urteilsfähigkeit der von der Wohnungsausweisung direkt betroffenen Person nur sehr geringe Anforderungen gestellt werden können, wenn die Beschwerdebefugnis in Frage steht. Diese Voraussetzungen sind vorliegend erfüllt, zumal die Beschwerdeführerin den Streitgegenstand und die Parteistandpunkte zumindest ansatzweise in justiziabler Weise erfassen konnte (vgl. VGE VD.2018.102 vom 31. Mai 2016 E. 1.3, VD.2016.212 vom 28. Juni 2017 E. 1.2.1, VD.2013.161 vom 5. Februar 2014 E. 3.1).</w:t>
      </w:r>
    </w:p>
    <w:p>
      <w:r>
        <w:t>1.4Im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a.a.O., Art. 450a ZGB N 4, 9). Dennoch ist es angebracht, dass sich das Verwaltungsgericht eine gewisse Zurückhaltung auferlegt, wo es der besonderen Erfahrung und dem Fachwissen der Kindes- und Erwachsenenschutzbehörde als Vorinstanz Rechnung zu tragen gilt (VGE 664/2007 vom 1. Februar 2008 und 650/2007 vom 16. Januar 2008). Zudem überprüft das Verwaltungsgericht den angefochtenen Entscheid nicht von sich aus unter allen in Frage kommenden Aspekten, sondern untersucht nur die rechtzeitig vorgebrachten Beanstandungen. In diesem Sinne gilt  abgesehen von Ausnahmen, deren Voraussetzungen hier nicht gegeben sind  auch im Bereich des Erwachsenenschutzes das sogenannte Rügeprinzip (VGE VD.2018.79 vom 16. Oktober 2018 E. 1.4.1, VD.2017.23 vom 2. Mai 2017 E. 1.2, VD.2016.158 vom 12. April 2017 E. 1.2.2;Wullschleger/Schröder, Praktische Fragen des Verwaltungsprozesses im Kanton Basel-Stadt, in: BJM 2005, S. 277, 305). An die Begründung sind  insbesondere bei nicht anwaltlich vertretenen Laien  aber keine hohen Anforderungen zu stellen. Es genügt, wenn aus der Beschwerde hinreichend klar hervorgeht, wogegen sie sich richtet und weshalb die beschwerdeführende Person in diesem Punkt nicht einverstanden ist (Droese/Steck, a.a.O., Art. 450 ZGB N 42, mit Hinweisen). Die Beschwerde ist gemäss Art. 450 Abs. 3 und Art. 450b Abs. 1 ZGB rechtzeitig erhoben und begründet worden, so dass darauf einzutreten ist.</w:t>
      </w:r>
    </w:p>
    <w:p>
      <w:r>
        <w:rPr>
          <w:b/>
        </w:rPr>
        <w:t>E. 2</w:t>
      </w:r>
    </w:p>
    <w:p>
      <w:r>
        <w:t>2.1Mit ihrer Beschwerde wiederholt die Beschwerdeführerin im Wesentlichen die bereits im Verfahren VD.2020.59 vorgetragenen Rügen. So macht sie geltend, die Vereinbarung vom 27. Januar 2020 sei getroffen worden, ohne dass der Anwalt D____ dazu mandatiert gewesen sei. Sie habe ihm zuvor das Mandat entzogen, nachdem er ihre Interessen an der ersten Schlichtungsverhandlung nicht habe durchsetzen können. Sie sei mit der Vereinbarung vom 27. Januar 2020 nicht einverstanden; diese sei ungültig, weil der Anwalt zum fraglichen Zeitpunkt kein Mandat gehabt habe (vgl. zum Ganzen Beschwerde, S. 1). Sie sei mit einem Verkauf der Liegenschaft nicht einverstanden, weil sie diese selbst übernehmen und ihre Schwester, B____, für den ihr zustehenden Teil ausbezahlen wolle (vgl. Beschwerde, S. 1 f.).</w:t>
      </w:r>
    </w:p>
    <w:p>
      <w:r>
        <w:t>2.2Das Verwaltungsgericht gelangte im Urteil VD.2020.59 vom 7. Juni 2020 zum Schluss, dass Rechtsanwalt D____ als rechtskräftig ernannter Vertretungsbeistand die Beschwerdeführerin auch ohne deren Mitwirkung habe vertreten können und diese rechtskräftig gewordene Verbeiständung nicht mehr zu überprüfen sei. Das von der Erwachsenenschutzbehörde erteilte Mandat habe die Beschwerdeführerin ihm auch nicht entziehen können (vgl. VGE VD.2020.59 vom 7. Juni 2020 E. 2.2.4). Weiter stellte das Verwaltungsgericht fest, dass der wesentliche Entscheid, die von ihr bewohnte Nachlassliegenschaft zu verkaufen, bereits im Schlichtungsverfahren ohne Mitwirkung eines Vertretungsbeistandes rechtskräftig getroffen worden sei. Daran sei die Beschwerdeführerin gebunden, nachdem es ihr offenbar nicht gelungen sei, die Liegenschaft gemäss Teilvereinbarung vom 15. Mai 2018 (vgl. act. 3 S. 184 f. sowie 208 ff.) selber zu übernehmen (VGE VD.2020.59 vom 7. Juni 2020 E. 2.3.2). Das Bundesgericht trat auf die von der Beschwerdeführerin daraufhin angehobene Beschwerde nicht ein. Es erwog, die Handlungen des Vertretungsbeistandes wirkten unmittelbar für die vertretene Person, wobei deren Einverständnis nicht erforderlich sei. Die Vertretungsbeistandschaft sei für das Erbteilungsverfahren und für das Vollstreckungsverfahren betreffend die Teilvereinbarung, in welcher der Verkauf vereinbart worden war, errichtet worden; der Vertretungsbeistand sei mithin befugt gewesen, den Vertrag, welchen die KESB am 27. Januar 2020 genehmigt habe, abzuschliessen (BGer 5A_676/2020 vom 27. August 2020 E. 4). Die Beschwerdeführerin verkennt, dass der Verkauf der von ihr bewohnten Liegenschaft und ihr vereinbarter Auszug nicht mehr zu hinterfragen sind. Sie bringt zudem auch im vorliegenden Verfahren keinen Finanzierungsnachweis bei, aus welchem hervorginge, dass sie finanziell in der Lage ist, die streitbetroffene Liegenschaft gemäss Teilvereinbarung vom 15. Mai 2018 (vgl. act. 3 S. 184 f. sowie 208 ff.) zu übernehmen. Die Befugnisse der im vorinstanzlichen Verfahren ernannten Vertretungsbeiständin beschränken sich schliesslich auf die zukünftige Wohnsituation der Beschwerdeführerin, umfassen also gerade nicht den Verkauf der Liegenschaft (vgl. angefochtener Entscheid, Dispositiv-Ziffer 3). Insoweit zielen die Rügen der Beschwerdeführerin an der Sache vorbei und erweist sich die Beschwerde als offensichtlich unbegründet.</w:t>
      </w:r>
    </w:p>
    <w:p>
      <w:r>
        <w:rPr>
          <w:b/>
        </w:rPr>
        <w:t>E. 3</w:t>
      </w:r>
    </w:p>
    <w:p>
      <w:r>
        <w:t>3.1Weiter bringt die Beschwerdeführerin vor, sie wolle keine Beistandschaft. Sie habe in keinen Auszug aus der Liegenschaft [...] eingewilligt (vgl. Beschwerde, S. 1).</w:t>
      </w:r>
    </w:p>
    <w:p>
      <w:r>
        <w:rPr>
          <w:b/>
        </w:rPr>
        <w:t>E. 3.2</w:t>
      </w:r>
    </w:p>
    <w:p>
      <w:r>
        <w:t>3.2.1Mit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 51 f.). Sie können die Personensorge, die Vermögenssorge oder den Rechtsverkehr betreffen (Art. 391 Abs. 2 ZGB).</w:t>
      </w:r>
    </w:p>
    <w:p>
      <w:r>
        <w:t>3.2.2Die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jedoch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2.2.1;Biderborst/Henkel, in: Basler Kommentar, 6. Auflage 2018, 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 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ZGB;Biderborst/Henkel,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(Biderborst/Henkel, a.a.O., Art. 394 ZGB N 8). Nicht erforderlich ist die Zustimmung der betroffenen Person zur entsprechenden Massnahme (Biderborst/Henkel, a.a.O., Art. 394 ZGB N 10, mit Hinweisen; VGE VD.2019.21 vom 13. Juni 2019 E. 3.2).</w:t>
      </w:r>
    </w:p>
    <w:p>
      <w:r>
        <w:t>3.3Aus den Akten geht in tatsächlicher Hinsicht hervor, dass die Beschwerdeführerin an einer paranoiden Schizophrenie (ICD-10 F20.0; Bericht der Universitären Psychiatrischen Kliniken Basel [UPK] vom 17. März 2015, act. 3 S. 636 ff.) resp. einer schizoaffektiven Störung, gegenwärtig manisch (ICD-10 F25.0; Bericht UPK vom 29. Mai 2015, act. 3 S. 538 ff.), leidet (vgl. auch angefochtener Entscheid, Ziff. 9). Gemäss dem angefochtenen Entscheid ging die KESB davon aus, dass sich die Beschwerdeführerin weigern werde, spätestens am 30. September 2020 aus der Liegenschaft [...] auszuziehen. Dies hat sich bewahrheitet, weshalb der angefochtene Entscheid insoweit nicht zu beanstanden ist. Mit Blick auf die ihr diagnostizierte psychische Erkrankung und die weiteren Akten ging die KESB sodann zutreffend davon aus, dass die Beschwerdeführerin an einem Schwächezustand im Sinn von Art. 390 ZGB leidet (vgl. angefochtener Entscheid E. 1315). Es ist weiter anzunehmen, dass dieser Schwächezustand der Beschwerdeführerin  im Sinn der negativ umschriebenen Urteilsfähigkeit  auch tatsächlich ein Unvermögen bewirkt, die eigenen Angelegenheiten zu besorgen. Die (positiv umschriebene) Urteilsfähigkeit setzt dabei einerseits als intellektuelle Komponente die Fähigkeit voraus, Sinn, Zweckmässigkeit und Wirkungen einer bestimmten Handlung zu erkennen. Hinzu kommt als Willens- bzw. Charakterelement das Vermögen, gemäss der vernünftigen Erkenntnis nach freiem Willen zu handeln und allfälliger fremder Willensbeeinflussung in normaler Weise Widerstand zu leisten (BGE 124 III 5 E. 1a S. 7 f. mit Hinweisen; BGer 5A_773/2013 vom 5. März 2014 E. 4.1). Die Beschwerdeführerin belegt mit ihrem Verhalten im vorliegenden Verfahren erneut, dass sie weder gewillt noch fähig ist, sich an die von ihr am 15. Mai 2018 (selbstbestimmt) getroffene Teilvereinbarung zu halten und zu einem Verkauf der streitbetroffenen Liegenschaft Hand zu bieten. Auch verkennt sie, dass eine Liegenschaft aufgrund der Unsicherheiten bezüglich eines Bezugstermins nur zu einem viel tieferen Preis verkauft werden kann, solange noch ein Erbe darin wohnt (so schon VGE VD.2020.59 vom 7. Juni 2020 E. 2.3.2), und dass sich ihr Problem mit dem Verbleib im Haus nicht lösen, sondern nur verzögern würde. Mit all dem geht die Weigerung der Beschwerdeführerin einher, sich eine geeignete Unterkunft zu suchen. Die Beschwerdeführerin zeigt nicht auf, dass sie gewillt und in der Lage ist, innert nützlicher Frist eigenständig die erforderlichen Vorkehrungen zu treffen oder sich hierfür die notwendige Unterstützung zu holen. Der von der Beschwerdeführerin gezeigte Widerstand entspringt offenkundig ihrer psychischen Erkrankung, zumal er sich insbesondere auch gegen die von ihr abgeschlossene Teilvereinbarung vom 15. Mai 2018 richtet. Nachdem der Verkauf der von ihr bewohnten Liegenschaft unausweichlich bevorsteht, ist angesichts ihres Verhaltens sowie ihrer Vorbringen offensichtlich, dass ihr die Fähigkeit, Sinn, Zweckmässigkeit und Wirkungen der angeordneten Vertretungsbeistandschaft zu erkennen, abgeht und auch ihr Vermögen, vernunftgemäss zu handeln, massgeblich beeinträchtigt ist. Insgesamt ist mit der KESB davon auszugehen, dass die Beschwerdeführerin bezüglich Planung und Organisation ihrer Wohnsituation auf Unterstützung angewiesen ist (vgl. angefochtener Entscheid, E. 16 f.). Im Bereich Wohnen besteht mit anderen Worten ein Schutzbedarf, weshalb sich die angeordnete Massnahme als rechtmässig erweist.</w:t>
      </w:r>
    </w:p>
    <w:p>
      <w:r>
        <w:t>3.4Soweit die KESB erwog, subsidiäre Massnahmen zur Unterstützung der Beschwerdeführerin in ihren Angelegenheiten hätten nicht funktioniert und aufgrund der dokumentierten gesundheitlichen und kognitiven Situation sowie der mangelnden Krankheitseinsicht seien keine anderweitigen Hilfestellungen (Angehörige, nahestehende Personen oder ähnliches) und auch keine weniger einschneidenden Massnahmen in Betracht zu ziehen (angefochtener Entscheid, E. 12, 14 und 16 f.), ist ihr ebenfalls zu folgen. Anzuordnen ist von Beginn weg eine erfolgversprechende Massnahme (VGE VD.2017.212 vom 7. Februar 2018 E. 4.3). Nachdem der Liegenschaftsverkauf seit rechtskräftiger Genehmigung der Vereinbarung vom 27. Januar 2020 nicht mehr aufzuhalten ist, kann angesichts der beharrlichen Weigerungshaltung der Beschwerdeführerin nicht davon ausgegangen werden, dass eine mildere Massnahme ebenso zielführend wäre wie die angeordnete Vertretungsbeistandschaft. Letztere umfasst ausschliesslich die Aufgabe, für eine den persönlichen Umständen entsprechende Wohnsituation beziehungsweise Unterkunft besorgt zu sein sowie die Beschwerdeführerin bei allen in diesem Zusammenhang stehenden erforderlichen Handlungen zu unterstützen und soweit nötig zu vertreten (vgl. angefochtener Entscheid, Dispositiv-Ziffer 3, sowie vorne, E. 2.2). Sie geht folglich nicht über das offensichtlich Notwendige hinaus. Auch ergeben sich in den Akten keinerlei Anhaltspunkte dafür, dass die Beschwerdeführerin über Angehörige oder ihr nahestehende Personen verfügt, welche sie  anstelle einer vom Staat bestellten Mandatsträgerin  bei der Etablierung einer geeigneten Unterkunft unterstützen könnten. Entsprechendes macht die Beschwerdeführerin auch nicht geltend. Eine mildere als die angeordnete Massnahme, die zugleich ebenso zielführend wäre, ist damit nicht ersichtlich. Die von der KESB errichtete Vertretungsbeistandschaft erweist sich damit auch als verhältnismässig.</w:t>
      </w:r>
    </w:p>
    <w:p>
      <w:r>
        <w:rPr>
          <w:b/>
        </w:rPr>
        <w:t>E. 4</w:t>
      </w:r>
    </w:p>
    <w:p>
      <w:r>
        <w:t>Gemäss den vorstehenden Erwägungen ist die Beschwerde abzuweisen. Bei diesem Ausgang des Verfahrens trägt die Beschwerdeführerin dessen Kosten mit einer Gebühr von CHF 800. (vgl. § 30 VRPG;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