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VD.2019.73 vom 31. März 2022</w:t>
      </w:r>
    </w:p>
    <w:p>
      <w:r>
        <w:t>BS Appellationsgericht, 2022-03-31, DE</w:t>
      </w:r>
    </w:p>
    <w:p>
      <w:r>
        <w:rPr>
          <w:b/>
        </w:rPr>
        <w:t xml:space="preserve">Quelle: </w:t>
      </w:r>
      <w:r>
        <w:t>https://mcp.opencaselaw.ch/entscheid/bs_appellationsgericht_VD.2019.73</w:t>
      </w:r>
    </w:p>
    <w:p>
      <w:r>
        <w:t>FR: BS_APPELLATIONSGERICHT VD.2019.73 du 31 mars 2022</w:t>
      </w:r>
    </w:p>
    <w:p>
      <w:r>
        <w:t>IT: BS_APPELLATIONSGERICHT VD.2019.73 del 31 marzo 2022</w:t>
      </w:r>
    </w:p>
    <w:p>
      <w:pPr>
        <w:pStyle w:val="Heading2"/>
      </w:pPr>
      <w:r>
        <w:t>Erwägungen</w:t>
      </w:r>
    </w:p>
    <w:p>
      <w:r>
        <w:rPr>
          <w:b/>
        </w:rPr>
        <w:t>E. 1</w:t>
      </w:r>
    </w:p>
    <w:p>
      <w:r>
        <w:t>1.1Das Bundesgericht hat den Entscheid des Verwaltungsgerichts vom 30. Juni 2020 aufgehoben und das Verwaltungsgericht angewiesen, neu über die Verlegung der Kosten- und Entschädigungsfolgen des Verfahrens bei den kantonalen Instanzen zu befinden.</w:t>
      </w:r>
    </w:p>
    <w:p>
      <w:r>
        <w:t>1.2Für die Neubeurteilung der Kosten- und Entschädigungsfolgen des verwaltungsgerichtlichen Rekursverfahrens ist  wie bereits für den Entscheid über den Rekurs gegen den Entscheid der Baurekurskommission  das Verwaltungsgericht als Dreiergericht zuständig (§ 92 Abs. 1 Ziff. 11 des Gerichtsorganisationsgesetzes [GOG, SG 154.100]).</w:t>
      </w:r>
    </w:p>
    <w:p>
      <w:r>
        <w:rPr>
          <w:b/>
        </w:rPr>
        <w:t>E. 2</w:t>
      </w:r>
    </w:p>
    <w:p>
      <w:r>
        <w:t>Die Rückweisung der Sache an das Bau- und Gewerbeinspektorat zur Prüfung der Einhaltung der Lärmschutzvorschriften in der Nacht gilt praxisgemäss als vollständiges Obsiegen (BGE 141 V 281 E. 11.1). Dementsprechend sind auch die kantonalen Verfahrenskosten entsprechend eines Obsiegens der Beigeladenen zu verteilen. Nach § 30 Abs. 1 VRPG sind in der Regel dem Rekurrenten im Fall des Unterliegens die Verfahrenskosten aufzuerlegen. Da der unterliegende Kanton Basel-Stadt in seinem amtlichen Wirkungskreis gehandelt hat, ohne dass es sich um sein Vermögensinteresse handelt, sind ihm indes keine Gerichtskosten aufzuerlegen (vgl. auch Art. 66 Abs. 4 BGG). Folglich sind für das verwaltungsgerichtliche und das vor­instanzliche Verfahren keine Kosten zu erheben.</w:t>
      </w:r>
    </w:p>
    <w:p>
      <w:r>
        <w:t>Die unterliegende Partei kann sodann gemäss § 30 Abs. 1 VRPG zu einer Parteientschädigung verurteilt werden. Der Kanton Basel-Stadt hat dementsprechend den anwaltlich vertretenen Beigeladenen eine angemessene Parteientschädigung zu bezahlen. Für das vorinstanzliche Verfahren beträgt die Parteientschädigung gemäss dem Entscheid der Baurekurskommission vom 27. Februar 2019 für die Beigeladenen 13 je CHF 1700. zuzüglich 7,7 % Mehrwertsteuer. Dies ist angesichts des bundesgerichtlichen Entscheids in den vorliegenden neuen Kostenentscheid aufzunehmen, da mit der Aufhebung des Entscheids des Verwaltungsgerichts und der direkten Rückweisung der Sache an das Bau- und Gastgewerbeinspektorats zur Prüfungder Einhaltung der Lärmschutzvorschriften in der Nachtauch die beim Verwaltungsgericht angefochtenen Entscheide der Baurekurskommission aufgehoben wurden. In Bezug auf das verwaltungsgerichtliche Verfahren haben die Beigeladenen 1-2 ihr Desinteresse am Verfahren mitgeteilt, womit ihnen dafür auch keine Parteientschädigung auszurichten ist. Daher ist lediglich eine Parteientschädigung an die Beigeladene 3 zu bezahlen. Deren Vertreter hat keine Honorarnote eingereicht, weshalb der Aufwand zu schätzen ist. Für die Ausarbeitung der Rekursantwort sowie der Teilnahme am Augenschein und an der Rekursverhandlung erscheint ein Aufwand von rund 20 Stunden angemessen. Dieser wird zu einem Stundenansatz von CHF 250. vergütet. Daraus ergibt sich eine Parteientschädigung für die Beigeladene 3 in Höhe von CHF 5'000.. Da die Beigeladene 3 selbst mehrwersteuerpflichtig ist und der Prozess imZusammenhang mit ihrer Unternehmenstätigkeit steht, wird die Parteientschädigung praxisgemäss ohne Mehrwertsteuer zugesprochen (vgl. VD.2019.17 vom 9. August 2019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