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VD.2019.35 vom 21. November 2018</w:t>
      </w:r>
    </w:p>
    <w:p>
      <w:r>
        <w:t>BS Appellationsgericht, 2018-11-21, DE</w:t>
      </w:r>
    </w:p>
    <w:p>
      <w:r>
        <w:rPr>
          <w:b/>
        </w:rPr>
        <w:t xml:space="preserve">Quelle: </w:t>
      </w:r>
      <w:r>
        <w:t>https://mcp.opencaselaw.ch/entscheid/bs_appellationsgericht_VD.2019.35</w:t>
      </w:r>
    </w:p>
    <w:p>
      <w:r>
        <w:t>FR: BS_APPELLATIONSGERICHT VD.2019.35 du 21 novembre 2018</w:t>
      </w:r>
    </w:p>
    <w:p>
      <w:r>
        <w:t>IT: BS_APPELLATIONSGERICHT VD.2019.35 del 21 novembre 2018</w:t>
      </w:r>
    </w:p>
    <w:p>
      <w:pPr>
        <w:pStyle w:val="Heading2"/>
      </w:pPr>
      <w:r>
        <w:t>Erwägungen</w:t>
      </w:r>
    </w:p>
    <w:p>
      <w:r>
        <w:rPr>
          <w:b/>
        </w:rPr>
        <w:t>E. 1</w:t>
      </w:r>
    </w:p>
    <w:p>
      <w:r>
        <w:t>1.1Gegen Entscheide der KESB kann gemäss Art. 450 Abs. 1 in Verbindung mit Art. 440 Abs.</w:t>
      </w:r>
    </w:p>
    <w:p>
      <w:r>
        <w:rPr>
          <w:b/>
        </w:rPr>
        <w:t>E. 3</w:t>
      </w:r>
    </w:p>
    <w:p>
      <w:r>
        <w:t>und Art. 314 Abs. 1 ZGB sowie § 17 Abs. 1 des kantonalen Kindes- und Erwachsenenschutzgesetzes (KESG, SG 212.400) Beschwerde an das Verwaltungsgericht geführt werden. Zuständig ist an sich das Dreiergericht (§ 92 Abs. 1 Ziff. 10 des Gerichtsorganisationsgesetzes[GOG], SG 154.100]). Für die Abschreibung des Verfahrens infolge Gegenstandslosigkeit ist indes die Verfahrensleitung zuständig (§ 45 GOG).</w:t>
      </w:r>
    </w:p>
    <w:p>
      <w:r>
        <w:t>1.2Auf das Beschwerdeverfahren kommen die Verfahrensbestimmungen des ZGB (Art. 314 Abs. 1 in Verbindung mit Art. 450 ff. ZGB) und die kantonalrechtlichen Verfahrensregeln des KESG zur Anwendung. Das Verfahren vor den gerichtlichen Beschwerdeinstanzen richtet sich gemäss § 19 Abs. 1 KESG mangels spezialgesetzlicher Regelung nach dem Gesetz über die Verfassungs- und Verwaltungsrechtspflege (VRPG, SG 270.100), soweit das Bundesrecht oder das KESG nichts anderes vorsehen. Subsidiär gilt nach Art. 450f ZGB die Schweizerische Zivilprozessordnung (ZPO, SR 272).</w:t>
      </w:r>
    </w:p>
    <w:p>
      <w:r>
        <w:t>1.3Zur Beschwerde befugt sind gemäss Art. 450 Abs. 2 Ziff. 1 ZGB die am Verfahren beteiligten Personen. Die Beschwerdeführerin war am Verfahren direkt beteiligt und ist somit gemäss Art. 450 Abs. 2 in Verbindung mit Art. 314 Abs. 1 ZGB zur Beschwerde legitimiert. Sie erhob und begründete die Beschwerde rechtzeitig innert der Frist gemäss Art. 450 Abs. 3 ZGB in Verbindung mit Art. 450b Abs. 1 ZGB.</w:t>
      </w:r>
    </w:p>
    <w:p>
      <w:r>
        <w:t>1.4Die Beschwerdebefugnis des Beschwerdeführers gemäss Art. 450 Abs. 2 Ziff. 1 ZGB setzt ein schutzwürdiges Interesses an der Beurteilung seiner Rechtsbegehren voraus. Um schutzwürdig zu sein, muss das Rechtsschutzinteresse im Zeitpunkt der Entscheidung über das Rechtsmittel aktuell sein (Droese/Steck,in: Geiser/Fountalakis [Hrsg.], Basler Kommentar, 6. Auflage, 2018, Art. 450 ZGB N 29;Rhinow/Koller/Kiss/Thurnherr/Brühl-Moser,Öffentliches Prozessrecht, 3. Auflage, Basel 2014, Rz. 1925, 1931). Diese Bedingung ist erfüllt, wenn die Gutheissung der Beschwerde dem Beschwerdeführer einen praktischen Nutzen eintragen würde. Entfällt das schutzwürdige Interesse während des Verfahrens, ist das Verfahren als gegenstandslos abzuschreiben (vgl. dazuRhinowet al., a.a.O., Rz. 1677;Schwank,Das verwaltungsinterne Rekursverfahren des Kantons Basel-Stadt, in: Buser [Hrsg.], Neues Handbuch des Staats- und Verwaltungsrechts des Kantons Basel-Stadt, Basel 2008, S. 435, 447, 467;Wullschleger/Schröder,Praktische Fragen des Verwaltungsprozesses im Kanton Basel-Stadt, BJM 2005, S. 277, 292; VGE VD.2016.40 vom 21. Juni 2016 E. 1.2, VD.2014.128 und VD.2014.134 vom 2. Oktober 2014 E. 1.2; vgl. für das Bundesrecht BGE 137 I 23 E. 1.3.1 S. 24). Mit dem Erfordernis des aktuellen Beschwerdeinteresses wird sichergestellt, dass einer Behörde nur konkrete und nicht bloss theoretische oder abstrakte Rechtsfragen unterbreitet werden (Schwank,a.a.O., S. 435, 447; VGE VD.2014.175 vom 25. November 2014 E. 1.2, VD.2012.13 vom 17. Februar 2014 E. 1.2; vgl. für das Bundesrecht BGE 131 I 153 E. 1.2 S. 157). Auf das Erfordernis des aktuellen Interesses wird indes ausnahmsweise verzichtet, wenn sich der gerügte Eingriff jederzeit wiederholen kann, seine rechtzeitige Überprüfung auf dem Beschwerdeweg jedoch wegen der Dauer des Verfahrens kaum je möglich und deshalb kein endgültiger Entscheid in Grundsatzfragen herbeizuführen ist (Stamm,Die Verwaltungsgerichtsbarkeit, in: Neues Handbuch des Staats- und Verwaltungsrechts des Kantons Basel-Stadt, Basel 2008, S. 477, 500;Wullschleger/Schröder,a.a.O., S. 277, 292 f.; BGE 126 I 250 E. 1b S. 252; VGE VD.2016.49 vom 19. Juni 2017 E. 1.3, VD.2015.268 vom 23. Juni 2016 E. 1.3, mit Hinweisen).</w:t>
      </w:r>
    </w:p>
    <w:p>
      <w:r>
        <w:t>Anfechtungsgegenstand der vorliegenden Beschwerde vom 18. Februar 2019 bildet der Entscheid der KESB vom 7. Februar 2019. Streitgegenstand ist dabei die darin bis zum 18. März 2019 angeordnete Sistierung des Besuchskontakts mit ihrer Tochter. Diese Frist ist mittlerweile abgelaufen. Zudem wurde die Sistierung mit dem neuen Entscheid der KESB vom 15. März 2019 aufgehoben. Es ist auch nicht erkennbar, dass eine erneute Sistierung unter den gleichen Umständen, wie sie zur Anordnung der angefochtenen Sistierung geführt haben, drohen würde. Daraus folgt, dass das aktuelle Rechtsschutzinteresse an der Beurteilung der Beschwerde der Beschwerdeführerin gegen den Entscheid vom 7. Februar 2019 weggefallen ist. Soweit die Beschwerdeführerin mit ihrer Beschwerde weitere Anträge gestellt hat, gehen diese über den im angefochtenen Entscheid geregelten Streitgegenstand hinaus. Darauf kann deshalb nicht eingetreten werden.</w:t>
      </w:r>
    </w:p>
    <w:p>
      <w:r>
        <w:t>2.</w:t>
      </w:r>
    </w:p>
    <w:p>
      <w:r>
        <w:t>Auf die Erhebung von Verfahrenskosten kann verzichtet werden. Vertretungskosten sind im vorliegenden Verfahren nicht entstanden und daher auch nicht zu entschädigen. Es erübrigen sich daher weitere Ausführungen zur Verlegung der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