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VD.2019.32 vom 6. Mai 2019</w:t>
      </w:r>
    </w:p>
    <w:p>
      <w:r>
        <w:t>BS Appellationsgericht, 2019-05-06, DE</w:t>
      </w:r>
    </w:p>
    <w:p>
      <w:r>
        <w:rPr>
          <w:b/>
        </w:rPr>
        <w:t xml:space="preserve">Quelle: </w:t>
      </w:r>
      <w:r>
        <w:t>https://mcp.opencaselaw.ch/entscheid/bs_appellationsgericht_VD.2019.32</w:t>
      </w:r>
    </w:p>
    <w:p>
      <w:r>
        <w:t>FR: BS_APPELLATIONSGERICHT VD.2019.32 du 6 mai 2019</w:t>
      </w:r>
    </w:p>
    <w:p>
      <w:r>
        <w:t>IT: BS_APPELLATIONSGERICHT VD.2019.32 del 6 maggio 2019</w:t>
      </w:r>
    </w:p>
    <w:p>
      <w:pPr>
        <w:pStyle w:val="Heading2"/>
      </w:pPr>
      <w:r>
        <w:t>Erwägungen</w:t>
      </w:r>
    </w:p>
    <w:p>
      <w:r>
        <w:rPr>
          <w:b/>
        </w:rPr>
        <w:t>E. 1</w:t>
      </w:r>
    </w:p>
    <w:p>
      <w:r>
        <w:t>1.1Die Zuständigkeit des Verwaltungsgerichts zur Beurteilung des vorliegenden Rekurses ergibt sich aus dem Überweisungsbeschluss des Präsidialdepartements vom 20. Februar 2019 sowie § 12 des Verfassungs- und Verwaltungsrechtspflegegesetzes (VRPG, SG 270.100) und § 42 des Organisationsgesetzes (OG, SG 153.100). Zuständig ist das Dreiergericht (§ 88 Abs. 2 in Verbindung mit § 92 Abs. 1 Ziff. 11 des Gerichtsorganisationsgesetzes [GOG, SG 154.100]).</w:t>
      </w:r>
    </w:p>
    <w:p>
      <w:r>
        <w:rPr>
          <w:b/>
        </w:rPr>
        <w:t>E. 1.2</w:t>
      </w:r>
    </w:p>
    <w:p>
      <w:r>
        <w:t>1.2.1Mit seiner Rekursbegründung vom 5. Februar 2019 beantragt der Rekurrent, er sei zugunsten der Durchführung einer ambulanten Behandlung nach Art. 63 Abs. 1 StGB umgehend aus dem Strafvollzug zu entlassen und der Vollzug der Reststrafe sei zugunsten der ambulanten Behandlung aufzuschieben. Eventualiter sei er zugunsten einer stationären Suchtbehandlung nach Art. 60 Abs. 1 StGB im [...] der [...] oder in den UPK umgehend aus dem Strafvollzug zu entlassen und sei der Vollzug der Reststrafe zugunsten der stationären Suchtbehandlung aufzuschieben.</w:t>
      </w:r>
    </w:p>
    <w:p>
      <w:r>
        <w:t>1.2.2Es stellt sich die Frage, ob und inwiefern diese Anträge innerhalb des Streitgegenstandes des Verfahrens bleiben, welcher durch das Anfechtungsobjekt begrenzt wird. Den Streitgegenstand bildet das im angefochtenen Verwaltungsakt geregelte oder zu regelnde Rechtsverhältnis, soweit es angefochten wird (VGE VD.2016.221 vom 16. November 2017 E. 1.2.1;Schwank, Das verwaltungsinterne Rekursverfahren des Kantons Basel-Stadt, in: Buser [Hrsg.], Neues Handbuch des Staats- und Verwaltungsrechts des Kantons Basel-Stadt, Basel 2008, S. 435, 444;Wullschleger/Schröder,Praktische Fragen des Verwaltungsprozesses im Kanton Basel-Stadt, in: BJM 2005, S. 277, 285). Er darf sich im Lauf des Rechtsmittelzugs nicht erweitern (VGE VD.2016.221 vom 16. November 2017 E. 1.2.1;Stamm, Die Verwaltungsgerichtsbarkeit, in: Buser [Hrsg.], Neues Handbuch des Staats- und Verwaltungsrechts des Kantons Basel-Stadt, Basel 2008, S. 477, 505; jeweils mit Hinweisen).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(vgl. zum Ganzen VGE VD.2018.29 vom 16. August 2018 E. 1.2.2, mit Hinweis). Ist ein Nichteintretensentscheid angefochten, beschränkt sich der Streitgegenstand vor der Rechtsmittelinstanz demnach grundsätzlich auf die Frage, ob die Vor-instanz zu Recht einen Nichteintretensentscheid gefällt hat (BGer 2C_657/2014 vom 12. November 2014 E. 1.2, mit Hinweisen).</w:t>
      </w:r>
    </w:p>
    <w:p>
      <w:r>
        <w:t>1.2.3Wie das JSD mit Stellungnahme vom 1. April 2019 zu Recht geltend macht, ist auf die Anträge in Ziff. 1 und Ziff. 2 der Rekursbegründung vom 5. Februar 2019 nicht einzutreten, weil weder die Entlassung aus dem Straf- und Massnahmenvollzug noch die Vollzugsmodalitäten Gegenstand des vorliegenden Rekursverfahrens bilden. Da sich der vorliegende Rekurs gegen den Entscheid des JSD vom 14. Januar 2019 richtet, welcher keine materiellrechtliche Eventualbegründung enthält, hat das Verwaltungsgericht im vorliegenden Verfahren nur zu entscheiden, ob das JSD auf den Rekurs gegen den Vollzugsbefehl vom 29. November 2018 zu Recht nicht eingetreten ist. Der Rekurrent ist als Adressat dieses Nichteintretensentscheids unmittelbar berührt und hat damit ein schutzwürdiges Interesse an dessen Aufhebung oder Abänderung, weshalb er gemäss § 13 VRPG zum Rekurs legitimiert ist. Insoweit ist auf den frist- und formgerechten Rekurs einzutreten.</w:t>
      </w:r>
    </w:p>
    <w:p>
      <w:r>
        <w:t>1.3Die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(vgl. statt vieler VGE VD.2018.82 vom 9. Oktober 2018 E. 1.2).</w:t>
      </w:r>
    </w:p>
    <w:p>
      <w:r>
        <w:rPr>
          <w:b/>
        </w:rPr>
        <w:t>E. 2</w:t>
      </w:r>
    </w:p>
    <w:p>
      <w:r>
        <w:t>Die Verfügung vom 29. November 2018 (Vollzugsbefehl) wurde dem Rekurrenten am 1. Dezember 2018 zugestellt. Damit endete die Frist zur Einreichung der Rekursbegründung gemäss § 46 Abs. 2 GOG am 31. Dezember 2018. Es ist unbestritten, dass der Rekurrent bis zum Entscheid des JSD vom 14. Januar 2019 keine Rekursbegründung eingereicht hat. Dieses ist deshalb grundsätzlich zu Recht mangels Rekursbegründung auf den Rekurs nicht eingetreten. In Ziff. 3 der Begründung seines Rekurses gegen den Nichteintretensentscheid des JSD vom 14. Januar 2019 beantragt der Rekurrent jedoch die rückwirkende Erstreckung der Frist zur Einreichung der Begründung des Rekurses gegen den Vollzugsbefehl vom 29. November 2018. Damit beantragt er sinngemäss die Wiedereinsetzung in den vorigen Stand. Für die Beurteilung der Wiedereinsetzung ist grundsätzlich die Instanz zuständig, bei der die entsprechende Frist verpasst worden ist. Im vorliegenden Fall ist dies das JSD. Von einer Überweisung an die Vorinstanz kann jedoch abgesehen werden, weil diese zur Frage der Wiedereinsetzung in den vorigen Stand Stellung genommen hat und die Voraussetzungen für eine Wiedereinsetzung nicht erfüllt sind, wie sich aus den nachstehenden Erwägungen ergibt (vgl. VGE VD.2018.82 vom 9. Oktober 2018 E. 2.2.1).</w:t>
      </w:r>
    </w:p>
    <w:p>
      <w:r>
        <w:rPr>
          <w:b/>
        </w:rPr>
        <w:t>E. 3</w:t>
      </w:r>
    </w:p>
    <w:p>
      <w:r>
        <w:t>3.1Das auf das vorinstanzliche Verfahren anwendbare OG enthält keine ausdrückliche Vorschrift über die Wiedereinsetzung im Falle eines Fristversäumnisses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VD.2018.14 vom 23. März 2018 E. 2.3, VD.2015.50/VD.2015.118 vom 31. August 2015 E. 3.1, VD.2013.191 vom 14. April 2014 E. 2.3.1 und VD.2011.135 vom 22. März 2012 E. 2.2.1, mit Hinweisen). Für das verwaltungsinterne Verfahren wird praxisgemäss eine analoge Anwendung der Regelung von § 147 Abs. 5 des Steuergesetzes (StG, SG 640.100) vorgenommen (VGE VD.2018.14 vom 23. März 2018 E. 2.3, VD.2015.50/VD.2015.118 vom 31. August 2015 E. 3.1, VD.2013.191 vom 14. April 2014 E. 2.3.1, VD.2011.75 vom 4. Juli 2011 E. 3.2 und VD.2010.167 vom 20. September 2010 E. 2.3.1;Schwank, 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VD.2018.14 vom 23. März 2018 E. 2.3, VD.2015.50/ VD.2015.118 vom 31. August 2015 E. 3.1;Häfelin/Müller/Uhlmann, Allgemeines Verwaltungsrecht, Zürich 2016, 7. Auflage, N 1158;Kölz/Häner/Bertschi, 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(VGE VD.2018.14 vom 23. März 2018 E. 2.3, VD.2017.9 vom 4. Februar 2017 E. 2.4). Taugliche Entschuldigungsgründe bilden etwa Naturkatastrophen, Militärdienst oder eine schwerwiegende Erkrankung (VGE VD.2018.14 vom 23. März 2018 E. 2.3, VD.2015.50/VD.2015.118 vom 31. August 2015 E. 3.1;Vogel, in Auer/Müller/Schindler [Hrsg.], Kommentar zum Bundesgesetz über das Verwaltungsverfahren, 2. Aufl., Zürich 2019, Art. 24 N 10). Ein Krankheitszustand bildet dann einen Wiedereinsetzungsgrund, wenn und solange er jegliches auf die Fristwahrung gerichtete Handeln verunmöglicht (BGE 119 II 86 E. 2a S. 87; BGer 2C_31/2011 vom 20. Januar 2011 E. 3, 6S.54/2006 vom 2. November 2006 E. 2.2.1; VGE VD.2016.242 vom 1. März 2017 E. 3.3, VD.2017.9 vom 4. Februar 2017 E. 2.4, VD.2015.242 vom 23. Januar 2016 E. 2.2.3, VD.2015.50/VD.2015.118 vom 31. August 2015 E. 3.1, VD.2014.216 vom 9. Februar 2015 E. 4.1, VD.2013.34 vom 21. Oktober 2013 E. 2.2.2, VD.2011.135 vom 22. März 2012 E. 2.2.2;Rhinow/Koller/Kiss/Thurnherr/Brühl-Moser, Öffentliches Prozessrecht, 3. Auflage, Basel 2014, N 1833). Arbeitsüberlastung, organisatorische Unzulänglichkeiten oder Ferien stellen hingegen keine tauglichen Entschuldigungsgründe dar (VGE VD.2018.14 vom 23. März 2018 E. 2.3, VD.2015.50/VD.2015.118 vom 31. August 2015 E. 3.1;Vogel, a.a.O., Art. 24 N 10). Mangelnde Sprachkenntnis vermag das Versäumen einer Rechtsmittelfrist ebenfalls nicht zu entschuldigen (BGer 1B_250/2012 vom 31. Juli 2012 E. 2.3; VGE VD.2016.137/VD.2016.199 vom 16. November 2017 E. 3.3). Die Wiedereinsetzung ist innert 30 Tagen seit dem Wegfall des Hindernisses schriftlich und begründet unter Beifügung der nötigen Beweismittel zu beantragen (vgl. § 147 Abs. 5 StG;Amstutz/Arnold, in: Basler Kommentar, 3. Aufl., 2018, Art. 50 BGG N 14;Egli, in: Waldmann/Weissenberger [Hrsg.], Praxiskommentar VwVG, 2. Aufl., Zürich 2016, Art. 24 N 7;Schwank, a.a.O., S. 143;Vogel, a.a.O., Art. 24 N 18). Die Beweislast für den Wiedereinsetzungsgrund trägt der Gesuchsteller (vgl.Amstutz/Arnold, a.a.O., Art. 50 BGG N 14;Vogel, a.a.O., Art. 24 N 18). Ob der volle Beweis erbracht werden muss (sowohlAmstutz/Arnold, a.a.O., Art. 50 BGG N 14 FN 59 für das BGG), oder ob Glaubhaftmachung genügt (so Art. 94 Abs. 1 der Schweizerischen Strafprozessordnung [StPO, SR 312.0] und Art. 148 Abs. 1 der Schweizerischen Zivilprozessordnung [ZPO, SG 272] für die StPO und die ZPO), kann im vorliegenden Fall  mit Blick auf die nachfolgende Erwägung (vgl. E. 3.2 hernach)  offen bleiben.</w:t>
      </w:r>
    </w:p>
    <w:p>
      <w:r>
        <w:rPr>
          <w:b/>
        </w:rPr>
        <w:t>E. 3.2</w:t>
      </w:r>
    </w:p>
    <w:p>
      <w:r>
        <w:t>3.2.1Zur Begründung der Nichteinhaltung der Frist zur Einreichung einer Rekursbegründung macht der Rekurrent geltend, er sei zur Wahrung seiner Interessen in rechtlichen Angelegenheiten auf anwaltliche Unterstützung angewiesen gewesen, weil er rechtsunkundig sei, er Schwierigkeiten habe, sich schriftlich auf Deutsch auszudrücken, und weil er sich damals in einem labilen Gesundheitszustand befunden habe. Da sein amtlicher Verteidiger abwesend gewesen sei, habe er in der damaligen Zeit nicht auf anwaltliche Unterstützung zurückgreifen können. Beweise für diese Behauptungen wurden vom Rekurrenten nicht eingereicht und finden sich auch nicht in den Akten. Aus den folgenden Gründen ist die Behauptung, der Rekurrent sei durch ein unverschuldetes Hindernis von der Einhaltung der Frist zur Einreichung der Rekursbegründung abgehalten worden, vielmehr unglaubhaft.</w:t>
      </w:r>
    </w:p>
    <w:p>
      <w:r>
        <w:t>3.2.2Der Rekurrent behauptet, bei seinem Eintritt ins Untersuchungsgefängnis am 26. Dezember 2018 sei das von seinem Psychiater verordnete Antidepressivum D____ grundlos abgesetzt worden. Gemäss dem Austrittsbericht der UPK vom 11. Februar 2019 umfasste die Eintritts- und Austrittsmedikation des Rekurrenten unter anderem einmal täglich D____ und erhielt der Rekurrent dieses Arzneimittel gemäss eigenen Angaben im Untersuchungsgefängnis nicht. Gemäss dem Arzneimittel-Kompendium der Schweiz ist D____ zur Behandlung von depressiven Episoden indiziert. Weder im wissenschaftlichen forensisch-psychiatrischen Gutachten vom 31. Mai 2018 (S. 23-26) noch im Austrittsbericht der UPK vom 11. Februar 2019 (S. 1) wurde jedoch eine depressive Episode (ICD-10: F32.-) oder eine rezidivierende depressive Störung (ICD-10: F33.-) diagnostiziert. Selbst für den Fall, dass der Rekurrent dieses Arzneimittel in der Zeit vom 26. Dezember bis 9. Januar 2019 tatsächlich nicht erhalten haben sollte, ist deshalb nicht davon auszugehen, dass er in der Zeit vom 26. bis 31. Dezember 2018 an einer derart starken Depression gelitten hat, dass es ihm unmöglich oder unzumutbar gewesen ist, eine Rekursbegründung einzureichen oder dafür zumindest eine Fristerstreckung zu beantragen.</w:t>
      </w:r>
    </w:p>
    <w:p>
      <w:r>
        <w:t>3.2.3Im Verfahren betreffend Rückversetzung in den Strafvollzug sowie Anordnung einer stationären Suchtbehandlung unter Aufschub des Vollzugs der Reststrafe wurde der Rekurrent von Advokat B____ vertreten. Gemäss Aktennotiz des SMV vom 10. Dezember 2018 erklärte Advokat B____, dass er den Rekurrenten von nun an nicht mehr vertrete. Im Verfahren VT.2017.1599 verfügte die Staatsanwaltschaft am 4. Dezember 2018, dass Advokat B____ als amtlicher Verteidiger des Rekurrenten mit Wirkung ab dem 4. Dezember 2018 entlassen werde und Advokat C____ als amtlicher Verteidiger mit Wirkung ab dem 4. Dezember 2018 bestellt werde. Gemäss der Begründung dieser Verfügung hatte Advokat C____ telefonisch zugesichert, das Mandat zu übernehmen. Es ist davon auszugehen, dass die Einsetzung von Advokat C____ mit Verfügung vom 4. Dezember 2018 ein anderes Strafverfahren und nicht den Vollzug der stationären Suchbehandlung betraf (vgl. Verfügung der Staatsanwaltschaft vom 4. Dezember 2018 S. 2). Die in den Akten befindliche Vollmacht betreffend Strafvollzug erteilte der Rekurrent Advokat C____ am 7. Februar 2019. Trotzdem war mit der Einsetzung von Advokat C____ mit Verfügung vom 4. Dezember 2018 sichergestellt, dass der Rekurrent Zugang zu einem Anwalt hatte, den er nötigenfalls auch mit der Wahrung seiner Interessen betreffend den Straf- und Massnahmenvollzug hätte betrauen können. Nachdem sich Advokat C____ zur Übernahme der amtlichen Verteidigung bereit erklärt hatte und mit Verfügung vom 4. Dezember 2018 als amtlicher Verteidiger eingesetzt worden war, ist es völlig unglaubhaft, dass er dem Rekurrenten bis am 31. Dezember 2018 nicht zur Verfügung gestanden hat. Damit ist es nicht glaubhaft, dass der Rekurrent für die Rekursbegründung nicht auf anwaltliche Hilfe hätte zurückgreifen können. Im Übrigen ist es auch nicht glaubhaft, dass er auf eine solche zur Wahrung der Frist für die Einreichung der Rekursbegründung angewiesen gewesen ist.</w:t>
      </w:r>
    </w:p>
    <w:p>
      <w:r>
        <w:t>3.2.4In der jüngeren Vergangenheit machte der Rekurrent persönlich diverse schriftliche Eingaben, in denen er in sehr gutem Deutsch zur Wahrung seiner Interessen Anträge stellte und diese sachbezogen und verständlich begründete (vgl. E-Mail vom 18. Dezember 2018; Rekursbegründung vom 5. Februar 2019; beim SMV am 18. Februar 2019 eingegangenes Schreiben und Schreiben vom 27. Februar 2019). Drei dieser vier Eingaben stammen aus der Zeit, in der sich der Rekurrent im Untersuchungsgefängnis befunden hat. Folglich verfügt er entweder persönlich über die zum Verfassen einer schriftlichen Rekursbegründung erforderlichen Kenntnisse und Fähigkeiten oder kann er auch im Untersuchungsgefängnis auf die dafür allenfalls erforderliche Unterstützung Dritter zählen. Folglich wäre es ihm bei Einsatz der gehörigen Sorgfalt auch ohne anwaltliche Unterstützung möglich gewesen, rechtzeitig bis am 31. Dezember 2018 eine schriftliche Rekursbegründung einzureichen. Erst recht wäre es ihm möglich gewesen, dafür rechtzeitig eine Fristerstreckung zu beantragen.</w:t>
      </w:r>
    </w:p>
    <w:p>
      <w:r>
        <w:t>3.2.5Aus den vorstehenden Gründen ist es nicht glaubhaft, dass der Rekurrent durch ein unverschuldetes Hindernis davon abgehalten worden ist, die Frist zur Einreichung der Begründung des Rekurses gegen die Verfügung vom 29. November 2018 einzuhalten. Es ist vielmehr davon auszugehen, dass es ihm bei Einsatz gehöriger Sorgfalt möglich und zumutbar gewesen wäre, rechtzeitig eine Rekursbegründung einzureichen oder zumindest eine Fristerstreckung zu beantragen. Damit ist eine Wiedereinsetzung in den vorigen Stand ausgeschlossen.</w:t>
      </w:r>
    </w:p>
    <w:p>
      <w:r>
        <w:rPr>
          <w:b/>
        </w:rPr>
        <w:t>E. 4</w:t>
      </w:r>
    </w:p>
    <w:p>
      <w:r>
        <w:t>Nach dem Gesagten erweist sich der Rekurs als unbegründet und ist daher abzuweisen. Bei diesem Ausgang des Verfahrens sind dessen Kosten dem Rekurrenten mit einer Gebühr von CHF 500. (einschliesslich Auslagen) aufzuerlegen (Art. 30 Abs. 1 VRPG in Verbindung mit § 23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