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VD.2019.235 vom 19. Mai 2020</w:t>
      </w:r>
    </w:p>
    <w:p>
      <w:r>
        <w:t>BS Appellationsgericht, 2020-05-19, DE</w:t>
      </w:r>
    </w:p>
    <w:p>
      <w:r>
        <w:rPr>
          <w:b/>
        </w:rPr>
        <w:t xml:space="preserve">Quelle: </w:t>
      </w:r>
      <w:r>
        <w:t>https://mcp.opencaselaw.ch/entscheid/bs_appellationsgericht_VD.2019.235</w:t>
      </w:r>
    </w:p>
    <w:p>
      <w:r>
        <w:t>FR: BS_APPELLATIONSGERICHT VD.2019.235 du 19 mai 2020</w:t>
      </w:r>
    </w:p>
    <w:p>
      <w:r>
        <w:t>IT: BS_APPELLATIONSGERICHT VD.2019.235 del 19 maggio 2020</w:t>
      </w:r>
    </w:p>
    <w:p>
      <w:pPr>
        <w:pStyle w:val="Heading2"/>
      </w:pPr>
      <w:r>
        <w:t>Erwägungen</w:t>
      </w:r>
    </w:p>
    <w:p>
      <w:r>
        <w:rPr>
          <w:b/>
        </w:rPr>
        <w:t>E. 1</w:t>
      </w:r>
    </w:p>
    <w:p>
      <w:r>
        <w:t>1.1Die Zuständigkeit des Verwaltungsgerichts zur Beurteilung des vorliegenden Rekurses ergibt sich aus dem Überweisungsbeschluss des Präsidialdepartements vom 16. Dezember 2019 sowie aus § 42 des Organisationsgesetzes (OG, SG 153.100) in Verbindung mit § 12 des Verwaltungsrechtspflegegesetzes (VRPG, SG 270.100). Zuständig ist das Dreiergericht (§§ 88 Abs. 2 und 92 Abs. 1 Ziff. 11 des Gerichtsorganisationsgesetzes [GOG, SG 154.100]). Der Rekurrent ist als Adressat vom angefochtenen Entscheid unmittelbar berührt und hat daher ein schutzwürdiges Interesse an dessen Aufhebung. Er ist deshalb gemäss § 13 Abs. 1 VRPG zum Rekurs legitimiert. Der vorliegende Rekurs wurde den Voraussetzungen von § 46 Abs. 1 und 2 OG bzw. § 16 Abs. 1 und Abs. 2 VRPG entsprechend rechtzeitig angemeldet und innert erstreckter Frist begründet. Auf den Rekurs ist somit grundsätzlich einzutreten (vgl. aber E. 2.1 hiernach).</w:t>
      </w:r>
    </w:p>
    <w:p>
      <w:r>
        <w:t>1.2Die Kognition des Verwaltungsgerichts richtet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 Mangels einer entsprechenden gesetzlichen Vorschrift im Ausländerrecht ist das Verwaltungsgericht nicht befugt, über die Angemessenheit der angefochtenen Verfügung zu entscheiden (VGE VD.2016.207 vom 21. Juni 2017 E. 1.2, VD.2015.135 vom 8. Juni 2016 E. 1.2, VD.2012.243 vom 21. Mai 2013 E. 1.2). Gemäss bundesgerichtlicher Rechtsprechung und in Anwendung von Art. 110 des Bundesgerichtsgesetzes (BGG, SR 173.110) sind bei der Prüfung der materiellen Rechtmässigkeit eines ausländerrechtlichen Entscheids durch das kantonale Gericht die tatsächlichen Verhältnisse massgebend, wie sie im Zeitpunkt des Gerichtsentscheids vorherrschen (vgl. BGE 127 II 60 E. 1b S. 63; BGer 2C_42/2011 vom 23. August 2012 E. 5.3; VGE VD.2017.183 vom 17. Oktober 2017 E. 1.2, VD.2015.240 vom 19. September 2016 E. 1.2, VD.2015.151 vom 24. Februar 2016 E. 1). Noven sind deshalb in diesem Fall zulässig, obwohl das Verwaltungsgericht nach kantonalem Recht grundsätzlich bloss eine nachträgliche Verwaltungskontrolle ausübt (vgl. zum Ganzen VGE VD.2017.168 vom 9. Februar 2018 E. 1.2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