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VD.2019.228 vom 15. Dezember 2020</w:t>
      </w:r>
    </w:p>
    <w:p>
      <w:r>
        <w:t>BS Appellationsgericht, 2020-12-15, DE</w:t>
      </w:r>
    </w:p>
    <w:p>
      <w:r>
        <w:rPr>
          <w:b/>
        </w:rPr>
        <w:t xml:space="preserve">Quelle: </w:t>
      </w:r>
      <w:r>
        <w:t>https://mcp.opencaselaw.ch/entscheid/bs_appellationsgericht_VD.2019.228</w:t>
      </w:r>
    </w:p>
    <w:p>
      <w:r>
        <w:t>FR: BS_APPELLATIONSGERICHT VD.2019.228 du 15 décembre 2020</w:t>
      </w:r>
    </w:p>
    <w:p>
      <w:r>
        <w:t>IT: BS_APPELLATIONSGERICHT VD.2019.228 del 15 dicembre 2020</w:t>
      </w:r>
    </w:p>
    <w:p>
      <w:pPr>
        <w:pStyle w:val="Heading2"/>
      </w:pPr>
      <w:r>
        <w:t>Erwägungen</w:t>
      </w:r>
    </w:p>
    <w:p>
      <w:r>
        <w:rPr>
          <w:b/>
        </w:rPr>
        <w:t>E. 1</w:t>
      </w:r>
    </w:p>
    <w:p>
      <w:r>
        <w:t>bis 6 des Entscheids der KESB vom 20. August 2019 anfechten (Rechtsbegehren 1). Damit wurde zwar der in der Dispositiv-Ziffer 5 geregelte Besuchskontakt ebenfalls angefochten, der Antrag jedoch in der Beschwerdebegründung nicht näher ausgeführt (vgl. E. 1.3). Da die Anfechtung des Besuchsrechts somit bereits in der Beschwerdeschrift nicht begründet wurde und der Rechtsvertreter es auch in der Gerichtsverhandlung unterlässt, neue Tatsachen und Beweismittel zu benennen, kann offengelassen werden, ob es sich bei dem in der Gerichtsverhandlung gestellten Eventualantrag um eine blosse Umformulierung oder um eine eigentliche Änderung der bisherigen Rechtsbegehren handelt. So oder anders ist auf das Eventualbegehren nicht einzutreten. Im Übrigen wäre der Antrag auch in der Sache abzuweisen, wie sich aus den nachfolgenden Erwägungen ergibt.</w:t>
      </w:r>
    </w:p>
    <w:p>
      <w:r>
        <w:t>1.5Die von der Beschwerdeführerin erst am Vortag beantragte Teilnahme an der Gerichtsverhandlung mittels Videozuschaltung scheiterte aus technischen Gründen. Seitens des Gerichts waren die technischen Voraussetzungen erfüllt. Die Beschwerdeführerin war zwar per Webex über Videoschaltung zu sehen, jedoch trotz mehrfacher Versuche im Gerichtssaal nicht zu hören. Gemäss Art. 4 lit. c der Verordnung über Massnahmen in der Justiz und im Verfahrensrecht im Zusammenhang mit dem Coronavirus (Covid-19-Verordnung Justiz und Verfahrensrecht, SR 272.81) ist beim Einsatz von Video- und Telefonkonferenzen sicherzustellen, dass der Datenschutz und die Datensicherheit gewährleistet sind. In den Erläuterungen wird ergänzend ausgeführt, dies bedeute insbesondere, dass die Übertragung end-to-end-verschlüsselt erfolgen und benutzte Server in der Schweiz oder in der Europäischen Union sein müssen (Bundesamt für Justiz, Erläuterungen vom 16. April 2020 zur Covid-19-Verordnung Justiz und Verfahrensrecht, S. 6). Diese Voraussetzung ist bei der von der Beschwerdeführerin als Alternativen vorgeschlagenen WhatsApp-Telefonkonferenz oder Skype-Videoschaltung nicht erfüllt (Verhandlungsprotokoll, S. 7). Die Videokonferenz wurde deshalb beendet und die Beschwerdeführerin  wie vom Verfahrensleiter in der Verfügung vom 14. Dezember 2020 in Aussicht gestellt  von der Verhandlung dispensiert. Die Beschwerdeführerin kann sich bei ihrem an der Gerichtsverhandlung anwesenden Rechtsvertreter über die Verhandlung informieren.</w:t>
      </w:r>
    </w:p>
    <w:p>
      <w:r>
        <w:rPr>
          <w:b/>
        </w:rPr>
        <w:t>E. 1.1</w:t>
      </w:r>
    </w:p>
    <w:p>
      <w:r>
        <w:t>1.1.1Gegen Entscheide der KESB kann gemäss Art. 450 Abs. 1 in Verbindung mit Art. 440 Abs. 3 und 314 Abs. 1 ZGB sowie § 17 Abs. 1 des Kindes- und Erwachsenenschutzgesetzes (KESG, SG 212.400) Beschwerde an das Verwaltungsgericht geführt werden. Zuständig ist das Dreiergericht (§ 92 Abs. 1 Ziff. 10 des Gerichtsorganisationsgesetzes [GOG, SG 154.100]). Als Inhaberin der elterlichen Sorge über ihren Sohn ist die Beschwerdeführerin vom angefochtenen Entscheid betroffen und gemäss Art. 450 Abs. 2 Ziff. 2 in Verbindung mit Art. 314 Abs. 1 ZGB zur Beschwerde legitimiert.</w:t>
      </w:r>
    </w:p>
    <w:p>
      <w:r>
        <w:t>1.1.2Gleichzeitig hat die Beschwerdeführerin ihren eigenen Vertreter auch mandatiert, im Namen ihres Sohnes Beschwerde zu erheben. Als Inhaberin der elterlichen Sorge für ihren Sohn kommt der Beschwerdeführerin zwar die Vertretung ihres urteilsunfähigen Sohnes zu. Diese steht ihr aber nur im Umfang ihrer elterlichen Sorge zu. Die Vertetungsmacht erlischt daher bei der Entziehung oder Einschränkung der elterlichen Sorge aufgrund einer Massnahme des Kindesschutzes (Art. 307 ff., 325 ZGB) wie auch beim Vorliegen einer Interessenkollision (vgl. Art. 306 Abs. 3 ZGB), unabhängig davon, ob ein Beistand ernannt wurde oder nicht (Schwenzer/Cottier,in: Basler Kommentar, 6. Auflage 2018, Art. 304/305 ZGB N 4). Dies gilt etwa in Verfahren über die ausserhäusliche Unterbringung eines Kindes (Schwenzer/Cottier, a.a.O., Art. 306 ZGB N 5). Daraus folgt, dass die Beschwerdeführerin nicht berechtigt war, ihren eigenen Vertreter zu mandatieren, im Namen ihres Sohnes gegen den angefochtenen Entscheid Beschwerde zu erheben. Er handelte daher insoweit ohne Vollmacht. Auf die von ihm im Namen des Kindes als Beschwerdeführer erhobene Beschwerde kann daher nicht eingetreten werden. Demgegenüber ist auf die rechtzeitig erhobene (Art. 450b ZGB) und begründete Beschwerde der Beschwerdeführerin grundsätzlich einzutreten (vgl. aber unten E. 1.4 und E. 5).</w:t>
      </w:r>
    </w:p>
    <w:p>
      <w:r>
        <w:t>1.2Die Kognition des Verwaltungsgerichts richtet sich nach Art. 450a Abs. 1 ZGB. Danach kann eine Rechtsverletzung, die unrichtige oder unvollständige Feststellung des rechtserheblichen Sachverhalts und die Unangemessenheit des Entscheids gerügt werden. Für das Verfahren gelten die allgemeinen Bestimmungen des Verwaltungsrechtspflegegesetzes (VRPG, SG 270.100). 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Das Gericht ist damit an den Prozessgegenstand, nicht aber an die Parteianträge gebunden. Da in Angelegenheiten des Kindesschutzes im Interesse des Kindeswohls neue Entwicklungen zu berücksichtigen sind und es Art. 110 des Bundesgerichtsgesetzes (BGG, SR 173.110) zu beachten gilt, ist dabei auf die Verhältnisse im Zeitpunkt des Entscheids des Verwaltungsgerichts abzustellen (VGE VD.2016.50 vom 5. Juli 2016 E. 1.3).</w:t>
      </w:r>
    </w:p>
    <w:p>
      <w:r>
        <w:t>1.3Gemäss Art. 450 Abs. 3 ZGB ist die Beschwerde zu begründen. In der Begründung hat die beschwerdeführende Partei ihren Standpunkt substantiiert vorzutragen und sich mit den Erwägungen im angefochtenen Entscheid auseinanderzusetzen (VGE VD.2017.23 vom 2. Mai 2017, VD.2016.62 vom 30. September 2016;Wullschleger/Schröder, Praktische Fragen des Verwaltungsprozesses im Kanton Basel-Stadt, in: BJM 2005, S. 277, 305). An die Begründung sind allerdings  insbesondere bei nicht anwaltlich vertretenen Laien  keine hohen Anforderungen zu stellen. Es genügt, wenn aus der Beschwerde hinreichend klar hervorgeht, wogegen sie sich richtet und weshalb die beschwerdeführende Person in diesem Punkt nicht einverstanden ist (Droese/Steck, in: Basler Kommentar, a.a.O., Art. 450 ZGB N 42; VGE VD.2019.194 vom 13. März 2020 E. 1.3).</w:t>
      </w:r>
    </w:p>
    <w:p>
      <w:r>
        <w:t>1.4In der Gerichtsverhandlung liess die Beschwerdeführerin den Eventualantrag stellen, dass C____ «einstweilen und sofort» bis zur Klärung der Situation 8 bis 10 Wochen Ferien bei ihr verbringen könne (Verhandlungsprotokoll, S. 11 f.). Soweit sie damit ihre bisherigen Rechtsbegehren lediglich umformulieren möchte, erscheint dies grundsätzlich zulässig. Zulässig wäre auch der Rückzug von Rechtsbegehren. Im Übrigen setzt die Änderung der Rechtsbegehren im Beschwerdeverfahren aber gemäss Art. 317 Abs. 2 ZPO in Verbindung mit Art. 450f ZGB neue Tatsachen und Beweismittel voraus. Die Beschwerdeführerin liess mit ihrer Beschwerde vom 2. Dezember 2019 die Dispositiv-Ziffern</w:t>
      </w:r>
    </w:p>
    <w:p>
      <w:r>
        <w:rPr>
          <w:b/>
        </w:rPr>
        <w:t>E. 2</w:t>
      </w:r>
    </w:p>
    <w:p>
      <w:r>
        <w:t>Strittig ist zunächst der gestützt auf Art. 310 Abs. 1 ZGB erfolgte Entzug des Aufenthaltsbestimmungsrechts der sorgeberechtigten Beschwerdeführerin über ihren Sohn und dessen Platzierung in der F____ (angefochtener Entscheid, Dispositiv-Ziffer 1).</w:t>
      </w:r>
    </w:p>
    <w:p>
      <w:r>
        <w:t>2.1Die Vorinstanz erwog in diesem Zusammenhang, dass die Beschwerdeführerin seit dem vorsorglichen Entzug ihrer Obhut über das Kind mit Entscheid vom 22. März 2019 für Gespräche mit der KESB nicht mehr persönlich erreichbar gewesen sei. Sie habe mit Bezug auf eine erneute Übernahme der Obhut über ihren Sohn weder bezüglich ihrer aktuellen Wohnsituation noch der zukünftigen Beschulung von C____ konkrete Vorschläge gemacht und ihren Vertreter dazu nur oberflächlich instruiert. Ihre Lebensumstände seien daher nach wie vor vollkommen unklar und die von ihr formulierten Vorstellungen vage. Nachdem aus den Akten geschlossen werden könne, dass die Beschwerdeführerin in der Vergangenheit mit der Erziehung und Betreuung von C____ insgesamt an ihre Grenzen gestossen sei, könne aktuell eine erneute Gefährdung des Kindes nicht mit genügender Wahrscheinlichkeit ausgeschlossen werden. Die Gründe hierfür könnten aufgrund der Akten im angeschlagenen psychischen Zustand der Beschwerdeführerin liegen. Da sie sich jeglicher persönlichen Kontaktaufnahme mit den Behörden entziehe, könnten weder ihr Gesundheitszustand, ihre persönlichen Lebensumstände und die ihres neugeborenen Kindes noch ihre Erziehungsfähigkeit abgeklärt werden. Es bestünden grosse Zweifel daran, dass sie ihren Sohn adäquat versorgen könnte (angefochtener Entscheid, Rz. 30 f.).</w:t>
      </w:r>
    </w:p>
    <w:p>
      <w:r>
        <w:t>Insbesondere die Berichte der F____ über die sozialen und sprachlichen Defizite des Kindes bei seinem Eintritt und seine seitherige, enorme Entwicklung deuteten auf eine Vernachlässigung des Kindes im Elternhaus hin, welche sein Wohl schwer gefährden und seine Platzierung begründen könne. Es bestünden Hinweise für eine Vernachlässigung von C____ sowohl emotionaler Natur (Mangel an Wärme in der Beziehung zum Kind, fehlende Reaktion auf emotionale Signale des Kindes) als auch kognitiver und erzieherischer Natur (insbesondere Mangel an Konversation, Spiel und anregenden Erfahrungen, fehlende Beachtung eines besonderen und erheblichen Erziehungs- oder Förderbedarfs). Es sei daher von einer Gefährdung von C____ in der Obhut seiner Mutter auszugehen (angefochtener Entscheid, Rz. 31 f.). C____ gehe es in der F____ sehr gut, er fühle sich wohl und pflege einen vertrauensvollen Umgang mit seiner Bezugsperson und dem Leiter der Institution. Die betreuenden Personen verstünden es in höchstem Masse, C____ ein vertrauensvolles und sicheres Umfeld zu bieten, in dem er sich persönlich und schulisch bestens entwickeln könne. Die ländliche Lage mit dem Schulgarten und den Tieren würden C____ grosse Freude bereiten und seien für seine Entwicklung förderlich. Auch wenn sich die frühere Diagnose eines Autismus bei C____ durch die aktuelle kinderpsychiatrische Abklärung nicht bestätigen sollte, so könne die eigentlich auf Störungen aus dem Autismus-Spektrum spezialisierte Institution F____ dem Kind aufgrund seiner deprivierten Entwicklung den von ihm benötigten erhöhten Bedarf an Konstanz, Struktur und Betreuung bieten. Die dortige Platzierung von C____ sei daher geeignet, erforderlich und zumutbar, um seiner Gefährdung Abhilfe zu schaffen und mithin verhältnismässig. Dies gelte umso mehr, als die Beschwerdeführerin vor der Aussprechung der Massnahme nicht bereit gewesen sei, sich auf eine ambulante Kindesschutzmassnahme, wie beispielsweise eine sozialpädagogische Familienbegleitung, einzulassen und auch nicht einmal in der Lage war, sich während eines Gesprächs über allfällige Hilfsangebote einigermassen ruhig zu verhalten und die verschiedenen Optionen anzuhören. Es habe auch die Gefahr bestanden und es drohe weiterhin, dass sie sich mit C____ ins Ausland absetzt, um sich den Behörden gänzlich zu entziehen. Die stationäre Kindesschutzmassnahme sei daher zum Schutz des Kindswohls erforderlich und unter Berücksichtigung der Umstände zumutbar (angefochtener Entscheid, Rz. 33 ff.).</w:t>
      </w:r>
    </w:p>
    <w:p>
      <w:r>
        <w:t>2.2Dagegen erhebt die Beschwerdeführerin zunächst verschiedene formelle Rügen.</w:t>
      </w:r>
    </w:p>
    <w:p>
      <w:r>
        <w:t>2.2.1Diese zielen zunächst auf die Kindesanhörung. Es sei von der KESB «völlig willkürlich» gewesen, ohne Anhörung des Kindes im Beisein ihres Vertreters zu entscheiden. Sie macht eine Verletzung ihres rechtlichen Gehörs und damit von Art. 29 Abs. 1 und 2 der Bundesverfassung (BV, SR 101) sowie Art. 6 Ziff. 1 der Europäischen Menschenrechtskonvention (EMRK, SR 0.101) geltend, weil bei dieser «höchst relevanten Beweisaufnahme» keine Gelegenheit bestanden habe, dem Kind Ergänzungsfragen zu stellen. «Den Eltern und ihren Anwälten» müsse «sowohl die Kontrolle der Befragungen (Verhindern von Suggestivfragen an die Kinder) als auch das Stellen von Ergänzungsfragen» wie in Strafverfahren möglich sein (Beschwerde, E. 4).</w:t>
      </w:r>
    </w:p>
    <w:p>
      <w:r>
        <w:t>Darin kann der Beschwerdeführerin nicht gefolgt werden. Die Kindesanhörung dient der Umsetzung des direkt anwendbaren Art. 12 der UN-Konvention über die Rechte des Kindes (UNKRK; SR 0.107), wonach die Vertragsstaaten dem urteilsfähigen Kind das Recht sichern, seine Meinung in allen es berührenden Angelegenheiten frei zu äussern, damit diese angemessen und entsprechend seinem Alter und seiner Reife berücksichtigt werden kann (Art. 12 Abs. 1 UNKRK). Zu diesem Zweck ist dem Kind insbesondere Gelegenheit zu geben, in allen es berührenden Gerichts- oder Verwaltungsverfahren gehört zu werden (Art. 12 Abs. 2 UNKRK; BGE 126 III 497 E. 4b S. 498; VGE 650/2007 vom 16. Januar 2008). Die Anhörung des Kindes dient einerseits der Sachaufklärung und soll dem urteilenden Gericht ermöglichen, sich unmittelbar über die Wünsche und Bedürfnisse des Kindes ein eigenes Bild zu machen; andererseits handelt es sich dabei um ein Persönlichkeitsrecht des Kindes auf aktive Mitwirkung im Verfahren: Dem Kind wird vermittelt, dass es als hauptbeteiligte Person miteinbezogen wird (Bodenmann/Rumo-Jungo, Die Anhörung von Kindern aus rechtlicher und psychologischer Sicht, FamPra.ch 2003, S. 22 ff.;Michel/Steck, Basler Kommentar, a.a.O., Art. 298 ZGB N 2, 42;Schweighauser, in: Sutter-Somm/Hasenböhler/Leuenberger, Kommentar ZPO, 3. Auflage, Zürich 2016, Art. 298 N 1 ff.; BGE 131 III 553 E. 1.1 S. 554 und 122 III 401 E. 3b S. 402). Die Anhörung ist kindgerecht und mit Rücksicht auf den Entwicklungsstand des Kindes durchzuführen. Die Anhörung soll grundsätzlich nicht in Anwesenheit der Eltern durchgeführt werden (Michel/Steck, Basler Kommentar, a.a.O., Art. 298 ZGB N 45,Schweighauser, a.a.O., Art. 298 N 23). Der Anspruch der Eltern auf rechtliches Gehör ist gewahrt, wenn sie vor dem Endentscheid zum Ergebnis der Anhörung, wie es in der zusammenfassenden Aktennotiz zum Ausdruck kommt, Stellung nehmen können, auch ohne die Einzelheiten des Gesprächs zu kennen (Schweighauser, a.a.O., Art. 298 N 35;Michel/Steck, Basler Kommentar, a.a.O., Art. 298 ZGB N 49, mit Hinweis auf BGer 5A_88/2015 vom 5. Juni 2015 E. 3.3.1, BGE 122 I 53, 55 E. 4a;Bodenmann/Rumo-Jungo, a.a.O., S. 39;Steck/Schweighauser, Die Kinderbelange in der Schweizerischen Zivilprozessordnung, in: FamPra.ch 2010, 806;Spycher, Basler Kommentar ZPO, 3. Auflage 2017, Art. 298 N 17 f.;Herzig, Das Kind in den familienrechtlichen Verfahren, Zürich 2012, Rz. 410 f.). Die Eltern haben keine Möglichkeit, Ergänzungsfragen zu stellen (BGer 5A_88/2015 vom 5. Juni 2015 E. 3.3.1). Gegenstand des vorliegenden Verfahrens ist der angefochtene Entscheid der KESB vom 20. August 2019. Einen Tag vor der KESB-Verhandlung hat am 19. August 2019 eine Anhörung von C____ durch die Mitglieder der Spruchkammer in der F____ stattgefunden. Da es sich vorliegend nicht um ein Strafverfahren handelt und der Beschwerdeführerin keine strafbaren Handlungen vorgeworfen werden, kann sie sich auch nicht auf den strafprozessualen Anspruch auf Durchführung einer Konfrontationseinvernahme berufen, um ihr Kind einem Kreuzverhör mit ihrem Rechtsvertreter auszusetzen (BGer 5A_88/2015 vom 5. Juni 2015 E. 3.3.1).</w:t>
      </w:r>
    </w:p>
    <w:p>
      <w:r>
        <w:t>2.2.2Weiter rügt die Beschwerdeführerin, dass die Platzierung von C____ in der F____ nicht als fürsorgerische Unterbringung mit entsprechender Rechtsmittelbelehrung qualifiziert worden und daher viel zu langsam vorangetrieben worden sei. Dies verletze Art. 5 und 6 Ziff. 1 EMRK (Beschwerde, E. 7).</w:t>
      </w:r>
    </w:p>
    <w:p>
      <w:r>
        <w:t>Die Bestimmungen des Erwachsenenschutzes über die fürsorgerische Unterbringung kommen gemäss Art. 314b ZGB nur im Fall der Unterbringung eines Kindes in einer geschlossenen Einrichtung oder in einer psychiatrischen Klinik zur Anwendung. Sie kommen ansonsten auf Platzierungen in Anwendung von Art. 310 ZGB nicht zur Anwendung (Breitschmid, Basler Kommentar, a.a.O., Art. 314b ZGB N 1). Eine geschlossene Einrichtung liegt vor, wenn die Bewegungsfreiheit der betroffenen Kinder aufgrund der Betreuung und Überwachung spürbar eingeschränkt und sie so einem strikteren und in diesem Sinne «geschlosseneren» Regime unterworfen werden, als es üblicherweise Altersgenossen in ihren Familien trifft (BGer 5A_665/2014 vom 23. Dezember 2014 E. 2.3.2;Breitschmid, Basler Kommentar, a.a.O., Art. 314b ZGB N 5; KUKO ZGB-Cottier, Art. 314b N 2). Diese Voraussetzungen erfüllt die F____, eine für Menschen mit Autismus spezialisierte Einrichtung, mit Bezug auf C____ unter Berücksichtigung seines Alters und der Betreuung Gleichaltriger in einer Familie nicht. Daraus folgt, dass die Bestimmungen über die fürsorgerische Unterbringung vorliegend nicht anzuwenden waren.</w:t>
      </w:r>
    </w:p>
    <w:p>
      <w:r>
        <w:t>2.2.3Schliesslich macht die Beschwerdeführerin in formeller Hinsicht eine Verletzung ihres aus dem rechtlichen Gehör fliessenden Anspruchs auf Begründung gemäss Art. 29 Abs. 1 und 2 BV sowie Art. 6 Ziff. 1 EMRK geltend (Beschwerde, E. 9).</w:t>
      </w:r>
    </w:p>
    <w:p>
      <w:r>
        <w:t>Aus dem Anspruch auf rechtliches Gehör folgt unter anderem die grundsätzliche Pflicht der Behörde, ihren Entscheid zu begründen. Die Begründung muss so abgefasst sein, dass die betroffene Person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133 III 439 E. 3.3 S. 445; VGE VD.2018.107 vom 27. März 2019 E. 2). Diesen formellen Anforderungen genügt der angefochtene Entscheid offensichtlich. Es wird aufgrund der vorgetragenen Rügen der Beschwerdeführerin materiell zu prüfen sein, ob dem Entscheid inhaltlich auch gefolgt werden kann.</w:t>
      </w:r>
    </w:p>
    <w:p>
      <w:r>
        <w:t>2.3In der Sache bestreitet die Beschwerdeführerin mit ihrer Beschwerde das Vorliegen einer Kindeswohlgefährdung. Wie eine solche in ihrer Obhut bestanden habe, sei im angefochtenen Entscheid «nicht einmal in annähernd konkretisierter Weise dargetan» worden (Beschwerde, E. 5). Der Entzug der Obhut sei das «Resultat von sich in ihren unbegründeten Ängsten gegenseitig hochschaukelnden Stellen und Behörden [], welche teils wohl auch bewusst von ihrem eigenen Versagen im Zusammenhang mit der ihnen obliegenden Förderung von C____ ablenken wollten wie beispielsweise die Schule von C____». Demgegenüber habe sie sich mit ihrem Umzug in den Kanton E____ in vorausschauender Weise darum bemüht, ihrem Sohn ein Umfeld zu bieten, in welchem er weniger Reizen ausgesetzt sein würde und enger begleitet werden könnte, was eine «eigentliche Hetzjagd» auf sie ausgelöst habe (Beschwerde, E. 13). Eine akute Gefährdung des psychischen und physischen Wohls ihres Sohnes bestehe demgegenüber seit dem 12. März 2019, als dieser gegen den offenkundig erklärten Willen von Mutter und Kind im [] seitens der Kindesschutzbehörde und der Polizei «brutal von seiner Mutter getrennt» worden sei. Zudem bestehe eine akute Kindeswohlgefährdung durch die inzwischen offenbar sogar unbegleitet durchgeführten Besuche des Kindsvaters (Beschwerde, E. 2). An der «zwangsweise[n] Unterbringung» des Kindes im F____ dürfe daher nicht weiter festgehalten werden. C____ sei vielmehr in die Obhut seiner Mutter «zu entlassen» und die traumatisierende und völlig unverhältnismässige, in menschenrechtsverachtender Weise erfolgte Trennung von seiner Mutter zu beenden (Beschwerde, E. 5). Es sei offensichtlich, dass es dem Kind in der Obhut seiner Mutter deutlich besser gegangen sei als jetzt. Es fehle dem Kind die körperliche Nähe seiner Mutter, welche durch Telefon- und Skype-Kontakte nicht ersetzt werden könne. C____ gehöre nicht zur Zielgruppe der F____. Da er ein «Geborgenheit schenkendes Zuhause bei seiner Mutter» und eine in ihrer Obhut «bestens gedeihende» Schwester habe erübrige sich ein staatliches Eingreifen aufgrund des Subsidiaritätsprinzips (Beschwerde, S. 6). Eine abwägende Auseinandersetzung mit allen für das Kindeswohl relevanten Aspekten fehle im angefochtenen Entscheid vollständig. Es sei am 12. März 2019 bei «rudimentärerer Kenntnislage des Sachverhalts» völlig übereilt entschieden und dieser Entscheid seither einfach bestätigt worden (Beschwerde, E. 7). Selbst wenn eine Sonderbeschulung als notwendig erachtet würde, wäre eine solche in einer Tagesschule ohne «Internatslösung» möglich und damit allein verhältnismässig (Beschwerde, E. 11). Die Eignung und Notwendigkeit einer «Internatslösung» würden nicht in genügend konkretisierter Weise begründet (Beschwerde, S. 12).</w:t>
      </w:r>
    </w:p>
    <w:p>
      <w:r>
        <w:t>2.4Wie das Verwaltungsgericht bereits mit dem Urteil VGE VD.2019.67 vom 14. August 2019 erwog (E. 3.1), hat die Kindesschutzbehörde den Eltern ihr Kind nach Art. 307 Abs. 1 in Verbindung mit Art. 310 Abs. 1 ZGB, unter Beachtung der Verhältnismässigkeit im Einzelfall, wegzunehmen und in angemessener Weise anderweitig unterzubringen, wenn dessen Wohl gefährdet ist, die Eltern nicht selber für Abhilfe sorgen und der Gefährdung des Kindes nicht anders begegnet werden kann. Die Platzierung eines Kindes mit Aufhebung des Aufenthaltsbestimmungsrechts der Eltern (respektive nach alter Terminologie der elterlichenObhut[vgl. dazu:Breitschmid, Basler Kommentar, a.a.O., Art. 307 ZGB N 2 und Art. 310 ZGB N 1 ff.]) kommt daher nur als letztmögliches Mittel in Frage, wenn das Kind in der elterlichen Obhut nicht in der für seine körperliche, geistige und sittliche Entfaltung nötigen Weise geschützt und gefördert wird (Häfeli, Grundriss zum Kindes- und Erwachsenenschutz, 2. Auflage 2016, Rz. 4035;Hegnauer, Grundriss des Kindesrechts, 5. Auflage 1999, Rz. 27.08, 27.36; statt vieler BGer 5A_404/2016 E. 3; VGE VD.2013.31 vom 17. Juni 2013, VD.2010.220 vom 19. Juni 2011, VD 726/2007 vom 23. Mai 2008).Unerheblich ist, auf welche Ursachen die Gefährdung zurückzuführen ist. Desgleichen spielt es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der Subsidiarität, vgl. BGer 5A_404/2016 vom 10. November 2016 mit Hinweisen).Ein einmal angeordneter Obhutsentzug ist aufzuheben, wenn das Kindeswohl bei den Inhabern der elterlichen Sorge nicht mehr gefährdet ist (vgl. VGE VD.2013.13 vom 17. Juni 2013, VD.2010.87 vom 24. Juni 2010, 701/2009 vom 10. November 2009). Bei der Prüfung einer Rückplatzierung eines Kindes zu einem Elternteil ist zu prüfen, ob die seelische Verbindung zwischen dem betroffenen Elternteil und dem Kind intakt ist und ob dessen Erziehungsfähigkeit und Verantwortungsbewusstsein eine Übertragung der faktischen Obhut unter Beachtung des Kindeswohls rechtfertigen. Es gilt, den Anspruch des Elternteils auf persönliche Betreuung gegen das Interesse des Kindes an einer stabilen Beziehung und geeigneten Förderung abzuwägen (BGE 144 III 442 E. 4.3 S. 450, 111 II 119 E. 5 und 6; BGer 5A_980/2015 vom 26. Januar 2016 E. 2.1, mit weiteren Hinweisen). In die Abwägung einzubeziehen sind namentlich auch der Wunsch des betroffenen Kindes, dessen Alter sowie die bisherige Dauer der bestehenden Pflegelösung (BGer 5A_88/2015 vom 5. Juni 2015 E. 4.3.2). Unerheblich ist, wie schon im Zeitpunkt der Entziehung, auf welchen Ursachen die Gefährdung des Kindes im Falle seiner Rückplatzierung beruht. Sie kann in den Anlagen oder in einem Fehlverhalten des Kindes oder des Elternteils oder auch in der weiteren Umgebung gründen. Desgleichen spielt keine Rolle, ob den Elternteil ein Verschulden trifft (BGE 144 III 442 E. 4.3 S. 450, mit Hinweis auf BGer 5A_88/2015 vom 5. Juni 2015 E. 4.3.1).</w:t>
      </w:r>
    </w:p>
    <w:p>
      <w:r>
        <w:t>2.5Für die Begründung des Entzugs des Aufenthaltsbestimmungsrechts kann zunächst auf die Auseinandersetzung des Verwaltungsgerichts mit dem Sachverhalt in seinem Entscheid VGE VD.2019.67 vom 14. August 2019 verwiesen werden. Die Beschwerdeführerin unterlässt es gänzlich, sich damit auseinanderzusetzen.</w:t>
      </w:r>
    </w:p>
    <w:p>
      <w:r>
        <w:t>2.5.1Das Verwaltungsgericht erwog zu den Umständen, welche zum vorsorglichen Obhutsentzug führten zunächst, dass die Kantonspolizei und der Kindes- und Jugenddienst bereits aufgrund mehrerer Vorfälle häuslicher Gewalt in den Jahren 2016 und 2017 die Lebenssituation der Beschwerdeführerin und ihres Sohnes habe abklären müssen. Dabei seien bei C____, der als aufgestelltes Kind erlebt worden sei, das viel Aufmerksamkeit von seinen Eltern suche und benötige, hörbare Entwicklungsrückstände bei seiner Aussprache festgestellt worden, welche Logopädie im Kindergarten erforderlich machen würden. Er scheine bei der Mutter sehr isoliert und habe kaum Kontakte zu anderen Kindern. Die engagierte Mutter zeige sich in der Begleitung von C____ grundsätzlich versiert, das Kind sei aber in ihrem Haushalt Zeuge von häuslicher Gewalt geworden. Die Beschwerdeführerin habe dabei nur bedingt Verständnis für die Gefährdung ihres Kindes im Rahmen dieser Situationen gezeigt. Im Juni 2017 sei mit einer sozialpädagogischen Familienbegleitung (SPF) begonnen und Mitte August 2017 das Kind bei den Tagesstrukturen angemeldet worden (VGE VD.2019.67 E. 4.2). Auf das Gesuch des Kindsvaters vom 1. März 2018 um Regelung seines Besuchskontakts mit C____ seien neue Abklärungen erfolgt. Dabei sei es anlässlich eines Gesprächstermins vom 19. April 2018 zu einer Eskalation gekommen. Die mit einer Burka bekleidete und von Beginn an aufgebrachte Beschwerdeführerin sei zunehmend lauter geworden, wodurch sich die abklärende Sozialarbeiterin bedroht gefühlt habe. Schliesslich habe die Beschwerdeführerin dieser mit der rechten Hand auf den linken Arm geschlagen und die Sozialarbeiterin habe in Angst versetzt den Raum verlassen. Als die Beschwerdeführerin ihr gefolgt sei, habe sich die Sozialarbeiterin in das Büro einer Kollegin geflüchtet und sich dort eingeschlossen. Ein weiterer Mitarbeiter des KJD, der seine Kolleginnen habe schützen wollen, sei von der Beschwerdeführerin ebenfalls geschlagen und mit den Fingernägeln gekratzt worden. Die Beschwerdeführerin habe daraufhin versucht, mit aller Kraft in das Büro zu den beiden zu gelangen. Dabei sei der Türrahmen beschädigt worden. Im gegenüberliegenden Büro habe die Beschwerdeführerin einen Stuhl geworfen und dabei ein Bild beschädigt. Schliesslich sei es den Mitarbeitenden des KJD gelungen, sie zum Gehen zu bewegen. Nach ein paar Minuten sei die Beschwerdeführerin mit einem grossen Stein in der Hand zurückgekommen, jedoch durch die verschlossene Glastür zum Bereich mit den Büros nicht mehr hinein gelangt. Aufgrund dieses Vorfalls habe der KJD die aufgenommene Abklärung unterbrochen und ein sechsmonatiges Hausverbot gegen die Beschwerdeführerin ausgesprochen. Weiteren Einladungen der Leitung des KJD habe die Beschwerdeführerin keine Folge geleistet (VGE VD.2019.67 E. 4.3).</w:t>
      </w:r>
    </w:p>
    <w:p>
      <w:r>
        <w:t>Weiter stellte das Verwaltungsgericht unter Hinweis auf zwei Polizeirapporte fest, dass ein desolater Zustand der Wohnung der Beschwerdeführerin in [...] im März 2017 und Juli 2018 mit Fotos belegt sei. Gemäss dem Polizeirapport vom 10. März 2017 habe im Innern der Wohnung Chaos geherrscht. Überall seien Kleider gelegen und in der Küche habe es Unrat und Essensreste gehabt. Das Kind habe sich in einem Kinderzimmer aufgehalten, welches komplett «zugemüllt» gewesen sei. Auch am 30. Juli 2018 sei von der Polizei ein nicht kindgerechter Zustand der Wohnung festgestellt worden. Eines der Zimmer sei komplett zugestellt gewesen mit diversen Möbeln, Müll und sonstigen Gegenständen. Gemäss Angaben des Beistands anlässlich der Gerichtsverhandlung vom 14. August 2019 sei jedoch zumindest der Zustand des Eingangsbereichs und des Wohnzimmers im Januar 2019 «passabel» gewesen (E. 4.4).</w:t>
      </w:r>
    </w:p>
    <w:p>
      <w:r>
        <w:t>Vom Verwaltungsgericht berücksichtigt wurden sodann drei Gefährdungsmeldungen. Mit einer ersten Meldung der Primarschule [...] vom 11. Januar 2019 sei auf einen stark ausgeprägten Autismus und eine globale Entwicklungsverzögerung bei C____ hingewiesen worden, wobei sich die Zusammenarbeit mit der Mutter schwierig gestalte. Mit einer zweiten Gefährdungsmeldung vom 3. Februar 2019 habe der KJD konkret auf die schulischen Probleme des Kindes hingewiesen und berichtet, dass die Kindsmutter der Schulleitung ihre per 1. Januar 2019 erfolgte Abmeldung in den Kanton E____ mitgeteilt habe. C____ habe damit seit dem 21. Januar 2019 die Schule nicht mehr besucht und die Beschwerdeführerin habe einen Abklärungstermin betreffend die Spezialangebote für C____ abgesagt. Am 11. Februar 2019 habe die Beschwerdeführerin informiert, dass sie nun doch im Kanton E____ angemeldet sei und die Schule in Basel keinen Auftrag mehr habe. Mit einer dritten Gefährdungsmeldung vom 14. Februar 2019 habe die Sozialhilfe [...] mitgeteilt, dass sie von einer erheblichen psychischen Erkrankung der von ihnen unterstützten Beschwerdeführerin ausgehe, diese aber eine psychiatrische Behandlung vehement verweigere. Sie erscheine zu Terminen teilweise in normaler Kleidung, teilweise bedecke sie ihr Haar mit einem Kopftuch und teilweise erscheine sie in Vollverschleierung mit einem Niqab. Gemäss ihren eigenen Angaben wolle sie sich abschirmen, wenn es ihr schlecht gehe. Trotz der erfolgten Abmeldung halte sich die Beschwerdeführerin weiterhin in [...] auf, ohne dass C____ zur Schule gehe. Sie habe sich auch nach Folgen eines Wegzug ins Ausland erkundigt. Die Abklärungen der Kindesschutzbehörde bei der KESB E____ hätten jedoch ergeben, dass die Beschwerdeführerin bisher gar nicht bei der Gemeinde [...] angemeldet sei (VGE VD.2019.67 E. 4.5 und 4.6).</w:t>
      </w:r>
    </w:p>
    <w:p>
      <w:r>
        <w:t>Gestützt auf diese (resümierten) Feststellungen erwog das Verwaltungsgericht, dass die vorsorgliche Aufhebung des Aufenthaltsbestimmungsrechts und die Platzierung des Kindes in der F____ zur Wahrung des Kindeswohls offensichtlich geboten, notwendig und angemessen gewesen sei. Die Familie sei seit den ersten Meldungen über häusliche Gewalt im Juli 2016 der Kindsschutzbehörde bekannt gewesen und während dieser Zeit vom KJD begleitet worden. Belegt seien dabei heftige, teils gewalttätige Konflikte der Eltern, vor denen die Beschwerdeführerin ihren Sohn nicht habe schützen können und deren Zeuge im gewaltbereiten Umfeld er teilweise geworden sei. Zumindest vorübergehend im März 2017 und Juli 2018 sei die Beschwerdeführerin auch nicht in der Lage gewesen, die Familienwohnung in einem kindgerechten Zustand zu halten. Schliesslich habe sich die Lage im Januar und Februar 2019 mit den drei Gefährdungsmeldungen der Primarschule, des KJD und der Sozialhilfe [...] erheblich zugespitzt. C____ habe seit dem 21. Januar 2019 in der Schule gefehlt und die Beschwerdeführerin sei somit nachweislich nicht mehr in der Lage gewesen, eine angemessene Beschulung ihres mit einer Autismus-Spektrum-Störung diagnostizierten Sohnes zu gewährleisten und ihm die notwendige Unterstützung zu geben. Angesichts der Gesamtsituation ging das Verwaltungsgericht von einer erheblichen Kindeswohlgefährdung aus, zumal alle Hilfsangebote an der fehlenden Gesprächsbereitschaft und der unbeständigen Mitwirkungsbereitschaft der Beschwerdeführerin gescheitert seien. Da sich die Beschwerdeführerin schliesslich durch die wiederholt angekündigten Wohnortwechsel in den Kanton E____ bzw. ins Ausland sowie durch die erfolgten Ab- und Anmeldungen beim Einwohneramt Basel-Stadt den Behörden entzogen habe, habe sich die vorsorgliche Aufhebung des Aufenthaltsbestimmungsrechts und die Platzierung als notwendiges und verhältnismässiges Mittel zur Abwendung der Kindeswohlgefährdung erwiesen (VGE VD.2019.67 E. 4.7).</w:t>
      </w:r>
    </w:p>
    <w:p>
      <w:r>
        <w:t>2.5.2Wie das Verwaltungsgericht mit seinem Urteil VD.2019.67 vom 14. August 2019 weiter erwog, sei die Beschwerdeführerin auch nach erfolgtem Obhutsentzug nicht zu einer Zusammenarbeit mit dem abklärenden KJD bereit gewesen und habe Gespräche abgesagt. Mit Bericht vom 12. April 2019 sei der KJD daher zum Schluss gekommen, dass die Beschwerdeführerin aufgrund ihrer Neigung zu Aggressions- und Gewaltausbrüchen in ihrem Verhalten nicht einschätzbar sei (VGE VD.2019.67 E. 5.1). Weiter zitierte das Verwaltungsgericht einen von der KESB im verwaltungsgerichtlichen Verfahren eingereichten Bericht der M____ vom 20. Juni 2016, gemäss dem sich C____ von April bis Juni 2016 in ambulanter Abklärung in der Fachstelle Autismus [...] befunden habe. Die testpsychologischen Befunde, die anamnestischen Angaben der Eltern sowie das klinische Bild hätten dabei insgesamt für das Vorliegen einer Autismus-Spektrum-Störung gesprochen, wobei das Ausmass als mässig eingeschätzt worden sei. Aufgrund des frühen Beginns und der Sprachentwicklungsverzögerung sei von einem frühkindlichen Autismus ausgegangen worden (VGE VD.2019.67 E. 5.2, mit Hinweis auf act. 5 II S. 171 ff). Gemäss dem vom Verwaltungsgericht ebenfalls zitierten Internatsbericht des Schuljahres 19/20 der für Menschen mit Autismus spezialisierten F____ vom 10. Juli 2019 sei diese Diagnose weiter in Abklärung (VGE VD.2019.67 E. 5.3, mit Hinweis auf act. 5 I S. 182 ff.). Wie die Kindesvertreterin an der Gerichtsverhandlung ausgeführt habe, sei noch unklar, ob gewisse Verhaltensweisen von C____ aufgrund Traumatisierungen entstanden oder auf andere Ursachen zurückzuführen seien (VGE VD.2019.67 E. 5.5). Dem Internatsbericht zufolge habe sich C____ in eine Wohngruppe mit vier anderen Kindern und Jugendlichen im Alter von 9 bis 14 Jahren seit seinem Eintritt am 8. April 2019 aufgrund enger Begleitung gut eingelebt und sich sehr aufgeschlossen gegenüber allen Kindern und Erwachsenen gezeigt, was auch vom Beistand und der Kindesvertreterin anlässlich der Gerichtsverhandlung vom 14. August 2019 bestätigt worden sei. Krisen, wie die in der Schule beobachteten Schreianfälle, seien in Überforderungssituationen entstanden und zurückgegangen (VGE VD.2019.67 E. 5.3 f.).</w:t>
      </w:r>
    </w:p>
    <w:p>
      <w:r>
        <w:t>Was die Beschwerdeführerin angeht, stellte das Verwaltungsgericht fest, dass über ihre damals aktuelle Situation nicht viel in Erfahrung habe gebracht werden können. Bekannt sei einzig, dass sie ihre Wohnung in [...] gekündigt habe, sich offenbar im Ausland aufhalte und im Frühjahr 2019 ein gesundes Kind geboren habe. Gemäss den Angaben von G____ anlässlich der Gerichtsverhandlung werde sie im Ausland in einer von der H____ aufgebauten Institution betreut, habe später aber eine eigene Wohnung bezogen und arbeite (VGE VD.2019.67 E. 5.6). In den Akten der KESB Basel-Stadt finde sich dazu ein Teil einer anonymisierten «Verlaufsdokumentation» einer Stiftung im Ausland mit einigen wenigen Informationen betreffend die Begleitung der Beschwerdeführerin vom 21. April bis zum 6. Mai 2019 (VGE VD.2019.67 E. 5.6, mit Hinweis auf act.</w:t>
      </w:r>
    </w:p>
    <w:p>
      <w:r>
        <w:rPr>
          <w:b/>
        </w:rPr>
        <w:t>E. 5</w:t>
      </w:r>
    </w:p>
    <w:p>
      <w:r>
        <w:t>5.1Weiter wird mit der Beschwerde auch die Aufhebung der in der Dispositiv-Ziffer 6 des angefochtenen Entscheids enthaltenen Weisung gegenüber der Kindsmutter und allfälligen Drittpersonen gemäss Art. 307 Abs. 3 ZGB verlangt (Rechtsbegehren 1), «jegliche Ton- oder Videoaufnahmen von den Kontakten (Telefonate, Gespräche, Besuche etc.) mit ihrem Sohne zu unterlassen», wobei «selbstverständlich Foto- oder Videoaufnahmen zu Erinnerungszwecken» davon ausgenommen sein sollten.</w:t>
      </w:r>
    </w:p>
    <w:p>
      <w:r>
        <w:t>5.2Die Beschwerdeführerin begründet diesen Antrag in ihrer Beschwerde-begründung mit keiner Silbe, sodass darauf nicht weiter eingegangen werden kann (vgl. oben E. 1.3). Auch in der Sache ist nicht erkennbar, weshalb die angeordnete Weisung unrechtmässig oder unangemessen sein sollte.</w:t>
      </w:r>
    </w:p>
    <w:p>
      <w:r>
        <w:rPr>
          <w:b/>
        </w:rPr>
        <w:t>E. 6</w:t>
      </w:r>
    </w:p>
    <w:p>
      <w:r>
        <w:t>Schliesslich richtet sich die Beschwerde gegen die Besuchskontakte zwischen dem Kindsvater und C____ (Rechtsbegehren 1).</w:t>
      </w:r>
    </w:p>
    <w:p>
      <w:r>
        <w:t>6.1Mit dem angefochtenen Entscheid wurde der Kindsvater angehalten, C____ «weiterhin regelmässig in der F____ zu besuchen». Weiter wurde festgestellt, dass diese Kontakte in örtlicher und zeitlicher Hinsicht ausgeweitet werden könnten (Dispositiv-Ziffer 8).</w:t>
      </w:r>
    </w:p>
    <w:p>
      <w:r>
        <w:t>6.2Mit ihrer Beschwerde führt die Beschwerdeführerin aus, sie sei «völlig überraschend [] damit konfrontiert» worden, «dass C____ bei seinem Vater übernachtet haben solle», ohne dass sie dazu angehört worden sei. Damit sei ihr rechtliches Gehör gemäss Art. 29 BV verletzt worden. Es gehe nicht an, dass der Beistand diese Kontakte zum Vater nach eigenem Gutdünken ohne behördliche Kontrolle und ohne das rechtliche Gehör der Beschwerdeführerin festlege. C____ sei in der Vergangenheit Zeuge massiver vom Kindsvater gegen sie ausgehender Gewalt geworden. In manchen Momenten zeige C____ offenbar auch klar Verhaltensweisen, die den in der Vergangenheit beim Vater beobachteten Verhaltensweisen ähnelten bzw. diese wiedergeben würden, wie Türen schlagen usw. Es müsse davon ausgegangen werden, dass C____ noch immer traumatisiert sei vom Erlebten. Angesichts der bisher nicht vorhandenen Informationen über Umfang und Ausgestaltung sowie einer etwaigen Begleitung der Vater-Sohn-Kontakte könne nicht ausgeschlossen werden, dass ihn die Besuchskontakte des Vaters zumindest unbewusst belasteten, mitunter retraumatisierten und in einen Loyalitätskonflikt stürzten (Beschwerde, E. 15).</w:t>
      </w:r>
    </w:p>
    <w:p>
      <w:r>
        <w:t>6.3Die Kindesvertreterin bestätigt mit ihrer Stellungnahme vom 10. Januar 2020, dass C____ regelmässig beim Vater übernachte. Diese Kontakte würden aber «sehr im Sinne des Kindes» verlaufen. Der Kindsvater ist als Hilfsarbeiter in der Gastronomie tätig und anfangs Jahr in den Kanton [...] gezogen. Seit seine Vorgesetzten in der Probezeit krank wurden, arbeitet er nicht mehr und hat daher auch spontan unter der Woche Zeit für C____ (vgl. Verhandlungsprotokoll, S. 9 f.). Nach einem ersten begleiteten Treffen im April 2019 wurden die Besuche schrittweise ausgeweitet (Stellungnahme Beistand, act. 24 S. 15, vgl. dazu auch oben E. 3.3). In den Sommerferien 2020 verbrachte er mehrere Wochen und zuletzt im November während eines COVID-19-bedingten Schulunterbruchs 10 Tage beim Vater (vgl. Verhandlungsprotokoll, S. 9 f.). Wie seine Bezugsperson in der Verhandlung bestätigte, habe C____ die längeren Aufenthalte bei seinem Vater «sehr schön gefunden» (Verhandlungsprotokoll, S. 5). Der im November 2020 vom Kindsvater gestellte Antrag auf gemeinsame elterliche Sorge wird von C____s Beistand begrüsst (Antrag, act. 24 S. 18; Stellungnahme Beistand, act. 24 S. 15 ff.). Der Kindsvater habe sich gut auf das schrittweise Vorgehen einlassen können. Er zeige sich zuverlässig und pünktlich, und begegne C____ liebevoll und interessiert. C____ freue sich stets auf die Besuche und kehre geordnet und zufrieden zurück. Der Kindsvater neige nicht zu Alleingängen am behördlichen Setting oder dem Setting der Wohngruppe vorbei, sei telefonisch stets gut erreichbar und agiere transparent. Am letzten Standortgespräch habe er sich interessiert beteiligt. Er verfüge offensichtlich über «einiges Einfühlungsvermögen» seinem Sohn gegenüber (Stellungnahme Beistand, act. 24 S. 15). Man merke, «er will mitmachen und Verantwortung übernehmen» (Verhandlungsprotokoll, S. 15).</w:t>
      </w:r>
    </w:p>
    <w:p>
      <w:r>
        <w:t>6.4Aus dem Gesagten ergibt sich, dass die Weisung der KESB betreffend die Besuchskontakte zwischen Vater und Sohn nicht zu beanstanden ist. Der Vater ist präsent, zeigt sich interessiert und verbringt regelmässig Zeit mit C____. Da die Besuchskontakte für das Kindeswohl förderlich scheinen, sollten sie C____ nicht weggenommen werden.</w:t>
      </w:r>
    </w:p>
    <w:p>
      <w:r>
        <w:rPr>
          <w:b/>
        </w:rPr>
        <w:t>E. 7</w:t>
      </w:r>
    </w:p>
    <w:p>
      <w:r>
        <w:t>Gemäss den vorstehenden Erwägungen ist die Beschwerde abzuweisen. Bei diesem Ausgang des Verfahrens trägt die Beschwerdeführerin die Gerichtskosten mit einer Gebühr von CHF 1400., einschliesslich Auslagen. Das Gesuch um unentgeltliche Rechtspflege für das verwaltungsgerichtliche Beschwerdeverfahren wird abgewiesen, da auch anlässlich der Verhandlung die Bedürftigkeit der mittlerweile verheirateten Beschwerdeführerin nicht belegt wurde. Vielmehr trug ihr Vertreter Umstände wie ihre Arbeitstätigkeit, die Unternehmen ihres Gatten und ihre Wohnverhältnisse vor, welche eine Bedürftigkeit zu widerlegen scheinen (vgl. oben E. 3.7; Verhandlungsprotokoll, S. 4). Der Kindesvertreterin, [...], wird zufolge Bewilligung der unentgeltlichen Rechtspflege ein Honorar gemäss Honorarnote von CHF 2'540. (act. 28), zuzüglich 3,25 Stunden à CHF 200. für die Gerichtsverhandlung von CHF 650. und 7,7 % MWST von CHF 245.65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