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VD.2019.196 vom 6. August 2019</w:t>
      </w:r>
    </w:p>
    <w:p>
      <w:r>
        <w:t>BS Appellationsgericht, 2019-08-06, DE</w:t>
      </w:r>
    </w:p>
    <w:p>
      <w:r>
        <w:rPr>
          <w:b/>
        </w:rPr>
        <w:t xml:space="preserve">Quelle: </w:t>
      </w:r>
      <w:r>
        <w:t>https://mcp.opencaselaw.ch/entscheid/bs_appellationsgericht_VD.2019.196</w:t>
      </w:r>
    </w:p>
    <w:p>
      <w:r>
        <w:t>FR: BS_APPELLATIONSGERICHT VD.2019.196 du 6 août 2019</w:t>
      </w:r>
    </w:p>
    <w:p>
      <w:r>
        <w:t>IT: BS_APPELLATIONSGERICHT VD.2019.196 del 6 agosto 2019</w:t>
      </w:r>
    </w:p>
    <w:p>
      <w:pPr>
        <w:pStyle w:val="Heading2"/>
      </w:pPr>
      <w:r>
        <w:t>Erwägungen</w:t>
      </w:r>
    </w:p>
    <w:p>
      <w:r>
        <w:rPr>
          <w:b/>
        </w:rPr>
        <w:t>E. 1</w:t>
      </w:r>
    </w:p>
    <w:p>
      <w:r>
        <w:t>1.1Die Zuständigkeit des Verwaltungsgerichts zur Beurteilung des vorliegenden Rekurses ergibt sich aus dem Überweisungsbeschluss des Präsidialdepartements vom 26. September 2019 sowie § 12 des Verfassungs- und Verwaltungsrechtspflegegesetzes (VRPG, SG 270.100) und § 42 des Organisationsgesetzes (OG, SG 153.100). Zuständig ist das Dreiergericht (§ 92 Abs. 1 Ziff. 11 des Gerichtsorganisationsgesetzes [GOG, SG 154.100]).</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t>1.3Gemäss der Rechtsprechung zu § 16 Abs. 2 VRPG hat eine rekurrierende Partei ihren Standpunkt in ihrer Rechtsmittelbegründung substantiiert vorzutragen und sich mit den Erwägungen im angefochtenen Entscheid auseinanderzusetzen. Handelt es sich beim angefochtenen Entscheid um einen Nichteintretensentscheid, haben sich die Rechtsbegehren und deren Begründung zwingend auf die Argumente zu beziehen, die zum Nichteintreten geführt haben (vgl. BGer 2C_549/2017 vom 20. Juni 2017 E. 2.1; VGE VG.2019.1 vom 16. Oktober 2019 E. 1.3.2).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vgl.Wullschleger/Schröder, a.a.O., S. 277, 305). Es genügt, dass aus einer auch knapp ausgefallenen, summarischen Begründung zumindest ersehen werden kann, worum es dem Rekurrenten geht und welche Argumente er berücksichtigt wissen will. Fehlt eine solche Auseinandersetzung gänzlich, wird auf das Rechtsmittel nicht eingetreten (VGE VG.2019.1 vom 16. Oktober 2019 E. 1.3.2, VD.2017.294 vom 9. Juli 2018 E. 1.2.1, VD.2016.117 vom 15. August 2016 E. 1.3.2;Wullschleger/Schröder, a.a.O., S. 277, 305).</w:t>
      </w:r>
    </w:p>
    <w:p>
      <w:r>
        <w:rPr>
          <w:b/>
        </w:rPr>
        <w:t>E. 2</w:t>
      </w:r>
    </w:p>
    <w:p>
      <w:r>
        <w:t>2.1Verfügungen des Migrationsamts können beim JSD angefochten werden (§ 41 Abs. 2 OG). Der Rekurs ist innert 10 Tagen seit Eröffnung der Verfügung bei der Rekursinstanz anzumelden (§ 46 Abs. 1 OG). Fällt der letzte Tag der Frist auf einen Samstag, Sonntag oder gesetzlich anerkannten Feiertag, endet sie erst am darauffolgenden Werktag (§ 147 Abs. 3 des Gesetzes über die direkten Steuern [StG, SG 640.100] analog;Schwank, Das verwaltungsinterne Rekursverfahren des Kantons Basel-Stadt, Diss. Basel 2003, S. 138). Die Verfügung des Migrationsamts vom 6. August 2019 ist dem Rekurrenten am 7. August 2019 mit A-Post Plus zugestellt worden (vgl. angefochtener Entscheid, S. 2; Rekursakten in Sachen A____, Sendungsverfolgung der Schweizerischen Post, ausgedruckt am 22. August 2019). Damit hat die zehntägige Frist für die Anmeldung des Rekurses unter Berücksichtigung des Umstands, dass der 17. August 2019 ein Samstag gewesen ist, am 19. August 2019 geendet. Die Rekursanmeldung ist erst am 21. August 2019 und damit verspätet erfolgt.</w:t>
      </w:r>
    </w:p>
    <w:p>
      <w:r>
        <w:t>2.2Das JSD ist auf den Rekurs nicht eingetreten, weil die Rekursanmeldung nicht innert der gesetzlichen Frist von zehn Tagen erfolgt ist. Der Rekurrent setzt sich weder in der Anmeldung noch in der Begründung seines Rekurses an das Verwaltungsgericht mit der Frage der Rechtzeitigkeit der Anmeldung seines Rekurses an den Regierungsrat auseinander. Folglich ist auf den Rekurs mangels Begründung nicht einzutreten. Im Übrigen wäre der Rekurs aus den nachstehenden Gründen ohnehin abzuweisen.</w:t>
      </w:r>
    </w:p>
    <w:p>
      <w:r>
        <w:rPr>
          <w:b/>
        </w:rPr>
        <w:t>E. 3</w:t>
      </w:r>
    </w:p>
    <w:p>
      <w:r>
        <w:t>3.1Das auf das vorinstanzliche Verfahren anwendbare OG enthält keine ausdrückliche Vorschrift über die Wiedereinsetzung im Falle eines Fristversäumnisses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VD.2019.32 vom 6. Mai 2019 E. 3.1, VD.2018.14 vom 23. März 2018 E. 2.3 und VD.2015.50/VD.2015.118 vom 31. August 2015 E. 3.1).</w:t>
      </w:r>
    </w:p>
    <w:p>
      <w:r>
        <w:t>3.2Für das verwaltungsinterne Verfahren wird praxisgemäss eine analoge Anwendung der Regelung von § 147 Abs. 5 StG vorgenommen (VGE VD.2019.32 vom 6. Mai 2019 E. 3.1, VD.2018.14 vom 23. März 2018 E. 2.3 und VD.2015.50/VD.2015.118 vom 31. August 2015 E. 3.1;Schwank, a.a.O.,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VD.2019.32 vom 6. Mai 2019 E. 3.1 und VD.2018.14 vom 23. März 2018 E. 2.3;Häfelin/Müller/Uhlmann, Allgemeines Verwaltungsrecht, 7. Auflage, Zürich 2016, N 1158;Kölz/Häner/Bertschi, Verwaltungsverfahren und Verwaltungsrechtspflege des Bundes, 3. Auflage, Zürich 2013, N 115). Massgeblich sind nur Gründe, die einer Person die Wahrung ihrer Interessen auch bei Einsatz der gehörigen Sorgfalt gänzlich verunmöglichen oder in unzumutbarer Weise erschweren (VGE VD.2019.32 vom 6. Mai 2019 E. 3.1, VD.2018.14 vom 23. März 2018 E. 2.3 und VD.2017.9 vom 4. Februar 2017 E. 2.4). Taugliche Entschuldigungsgründe bilden etwa Naturkatastrophen, Militärdienst oder eine schwerwiegende Erkrankung (VGE VD.2019.32 vom 6. Mai 2019 E. 3.1 und VD.2018.14 vom 23. März 2018 E. 2.3;Vogel, in: Auer/Müller/Schindler [Hrsg.], Kommentar zum Bundesgesetz über das Verwaltungsverfahren, 2. Auflage, Zürich 2019, Art. 24 N 10).</w:t>
      </w:r>
    </w:p>
    <w:p>
      <w:r>
        <w:t>3.3Die Wiedereinsetzung ist innert 30 Tagen seit dem Wegfall des Hindernisses schriftlich und begründet unter Beifügung der nötigen Beweismittel zu beantragen (vgl. § 147 Abs. 5 StG; VGE VD.2019.32 vom 6. Mai 2019 E. 3.1;Schwank, a.a.O., S. 143;Amstutz/Arnold, in: Basler Kommentar. Bundesgerichtsgesetz, 3. Auflage 2018, Art. 50 N 14;Egli, in: Waldmann/Weissenberger [Hrsg.], Praxiskommentar VwVG, 2. Auflage, Zürich 2016, Art. 24 N 7;Vogel, a.a.O., Art. 24 N 18). Die Beweislast für den Wiedereinsetzungsgrund trägt der Gesuchsteller (VGE VD.2019.32 vom 6. Mai 2019 E. 3.1, vgl.Amstutz/Arnold, a.a.O., Art. 50 N 14;Vogel, a.a.O., Art. 24 N 18).</w:t>
      </w:r>
    </w:p>
    <w:p>
      <w:r>
        <w:t>3.4In der Begründung der Verfügung vom 6. August 2019 hat das Migrationsamt unter anderem erwogen, der Rekurrent habe trotz mehrmaliger Nachfrage, ob er seine Mutter bisher finanziell unterstützt habe, weder entsprechende Belege eingereicht noch bestätigt, seiner Mutter regelmässig Geld überwiesen zu haben. In der Rekursanmeldung vom 21. August 2019 erklärt der Rekurrent, er habe die Sachbearbeiterin des Migrationsamts nicht erreichen können, um die geforderten Unterlagen persönlich zu zeigen und zu erklären. In der Rekursanmeldung vom 3. September 2019 und der Rekursbegründung vom 23. September 2019 macht der Rekurrent sinngemäss geltend, er habe sehr oft versucht, einen Termin für ein persönliches Gespräch mit dem Migrationsamt zu bekommen, um die Unterlagen, zu deren Abgabe er mehrfach aufgefordert worden sei, vorzulegen beziehungsweise die bereits mit dem Gesuch eingereichten Unterlagen im Rahmen einer persönlichen Vorsprache zu erläutern. Die behaupteten Umstände hätten den Rekurrenten auch bei Wahrunterstellung in keiner Art und Weise daran gehindert, den Rekurs gegen die Verfügung vom 6. August 2019 rechtzeitig anzumelden. Irgendein unverschuldetes Hindernis, das den Rekurrenten von einer rechtzeitigen Rekursanmeldung hätte abhalten können, wird von ihm nicht behauptet. Damit ist auch eine Wiederherstellung der Frist für die Rekursanmeldung ausgeschlossen. Folglich ist das JSD auf den Rekurs zu Recht nicht eingetreten.</w:t>
      </w:r>
    </w:p>
    <w:p>
      <w:r>
        <w:t>Da das JSD auf den Rekurs zu Recht nicht eingetreten ist, ist auf die materiellen Rügen des Rekurrenten, mit denen er geltend macht, die Verfügung des Migrationsamts vom 6. August 2019 sei inhaltlich unrichtig, und die zum Beleg seiner materiellen Rügen eingereichten Beweismittel nicht einzugehen.</w:t>
      </w:r>
    </w:p>
    <w:p>
      <w:r>
        <w:rPr>
          <w:b/>
        </w:rPr>
        <w:t>E. 4</w:t>
      </w:r>
    </w:p>
    <w:p>
      <w:r>
        <w:t>Entsprechend dem Ausgang des verwaltungsgerichtlichen Rekursverfahrens hat der Rekurrent dessen Kosten zu tragen (§ 30 Abs. 1 VRPG). Die Gebühr wird in Anwendung von § 23 Abs. 1 des Gerichtsgebührenreglements (GGR, SG 154.810) auf CHF 500., einschliesslich Auslagen, festgesetzt und wird dem Kostenvorschuss entnommen.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