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VD.2019.189 vom 27. Oktober 2020</w:t>
      </w:r>
    </w:p>
    <w:p>
      <w:r>
        <w:t>BS Appellationsgericht, 2020-10-27, DE</w:t>
      </w:r>
    </w:p>
    <w:p>
      <w:r>
        <w:rPr>
          <w:b/>
        </w:rPr>
        <w:t xml:space="preserve">Quelle: </w:t>
      </w:r>
      <w:r>
        <w:t>https://mcp.opencaselaw.ch/entscheid/bs_appellationsgericht_VD.2019.189</w:t>
      </w:r>
    </w:p>
    <w:p>
      <w:r>
        <w:t>FR: BS_APPELLATIONSGERICHT VD.2019.189 du 27 octobre 2020</w:t>
      </w:r>
    </w:p>
    <w:p>
      <w:r>
        <w:t>IT: BS_APPELLATIONSGERICHT VD.2019.189 del 27 ottobre 2020</w:t>
      </w:r>
    </w:p>
    <w:p>
      <w:pPr>
        <w:pStyle w:val="Heading2"/>
      </w:pPr>
      <w:r>
        <w:t>Erwägungen</w:t>
      </w:r>
    </w:p>
    <w:p>
      <w:r>
        <w:rPr>
          <w:b/>
        </w:rPr>
        <w:t>E. 1</w:t>
      </w:r>
    </w:p>
    <w:p>
      <w:r>
        <w:t>1.1Die Zuständigkeit des Verwaltungsgerichts zur Beurteilung des vorliegenden Rekurses ergibt sich aus dem Überweisungsbeschluss des Präsidialdepartements vom 19. September 2019 sowie aus § 42 des Organisationsgesetzes (OG, SG 153.100) und § 12 des Verwaltungsrechtspflegegesetzes (VRPG, SG 270.100). Zum Entscheid ist das Dreiergericht berufen (§ 92 Abs. 1 Ziff. 11 des Gerichtsorganisationsgesetzes [GOG, SG 154.100]).</w:t>
      </w:r>
    </w:p>
    <w:p>
      <w:r>
        <w:rPr>
          <w:b/>
        </w:rPr>
        <w:t>E. 1.2.1</w:t>
      </w:r>
    </w:p>
    <w:p>
      <w:r>
        <w:t>1.2.1.1Gemäss der Rechtsprechung zu § 16 Abs. 2 VRPG hat eine rekurrierende Partei ihren Standpunkt in ihrer Rechtsmittelbegründung substantiiert vorzutragen und sich mit den Erwägungen im angefochtenen Entscheid auseinanderzusetzen. Das Verwaltungsgericht prüft eine angefochtene Verfügung nicht von sich aus unter allen in Frage kommenden Aspekten, sondern untersucht nur die rechtzeitig vorgebrachten Beanstandungen. In diesem Sinne gilt das sogenannteRügeprinzip(vgl. VGE VD.2018.40 vom 20. Oktober 2018 E. 1.2, VD.2018.71 vom 16. Oktober 2018 E. 1.4.1, VD.2017.23 vom 2. Mai 2017 E. 1.2, VD.2016.62 vom 30. September 2016 E. 1.2.1;Wullschleger/Schröder, Praktische Fragen des Verwaltungsprozesses im Kanton Basel-Stadt, in: BJM 2005, S. 277, 305).</w:t>
      </w:r>
    </w:p>
    <w:p>
      <w:r>
        <w:t>1.2.1.2Gemäss § 13 Abs. 1 VRPG ist des Weiteren zum Rekurs nur berechtigt, wer durch den angefochtenen Entscheid berührt ist und ein schutzwürdiges Interesse an dessen Aufhebung oder Änderung hat. Um schutzwürdig zu sein, muss das Interesse der Rekurrentin aktuell sein (VGE VD.2014.248 vom 7. Juni 2016 E. 1.2.1, VD.2015.177 vom 1. April 2016 E. 1, VD.2010.12 vom 27. Oktober 2010 E. 1.2;Wullschleger/Schröder, a.a.O., 292). Dies ist dann der Fall, wenn die Anfechtung für die Rekurrentin sowohl beim Einreichen des Rekurses als auch im Zeitpunkt der Urteilsfällung eine praktische Bedeutung hat und die Gutheissung ihres Rechtsmittels ihr einen gegenwärtigen und praktischen Nutzen einträgt in dem Sinn, dass dadurch der Eintritt eines wirtschaftlichen, ideellen, materiellen oder anderweitigen Nachteils verhindert wird (vgl. VGE VD.2017.86 und VD.2017.175 vom 24. November 2017 E. 1.3.1, VD.2010.12 vom 27. Oktober 2010 E. 1.2;Wullschleger/Schröder, a.a.O., 292). Dabei muss dem drohenden Nachteil eine nicht unbedeutende Schwere zukommen und der Schadenseintritt muss relativ wahrscheinlich sein; geringfügige, unwahrscheinliche Beeinträchtigungen reichen nicht aus (vgl.Moser/Beusch/Kneubühler, Prozessieren vor dem Bundesverwaltungsgericht, 2. Auflage, Basel 2013, Rz. 2.67). Demgegenüber fehlt es an einem aktuellen praktischen Interesse, wenn der Nachteil auch bei Gutheissung des Rekurses nicht mehr behoben werden könnte. Diese Situation liegt beispielsweise dann vor, wenn der angefochtene Akt im Zeitpunkt des Urteils keine Rechtswirkung mehr entfalten kann, weil das Ereignis, auf welches er sich bezieht, bereits stattgefunden hat (vgl. BVGer B-1561/2016 und B-4177/2016 vom 21. März 2018 E. 1.3.2.3, mit Hinweisen). Mit dem Erfordernis des aktuellen Rechtsschutzinteresses wird sichergestellt, dass dem Gericht nur konkrete und nicht bloss theoretische oder abstrakte Rechtsfragen unterbreitet werden (VGE VD.2014.248 vom 7. Juni 2016 E. 1.2.1, VD.2015.177 vom 1. April 2016 E. 1). Es darf namentlich nicht Aufgabe staatlicher Behörden sein, Rechtsgutachten zu erstatten (BVGer B-3694/2010 vom 6. April 2011 E. 2.1.2). Kein ausreichendes Rechtsschutzinteresse besteht nach Lehre und Rechtsprechung auch dann, wenn die Interessen in einem anderen Verfahren gewahrt werden können (vgl. BVGer A-5042/2018 vom 22. März 2019 E. 2.2, mit Hinweisen).</w:t>
      </w:r>
    </w:p>
    <w:p>
      <w:r>
        <w:t>1.2.1.3Fehlt das aktuelle Rechtsschutzinteresse bereits bei der Einreichung des Rekurses, ist auf diesen nicht einzutreten; fällt es im Verlauf des Rekursverfahrens dahin, wird das Verfahren als gegenstandslos abgeschrieben (VGE VD.2016.170 vom 21. August 2017 E. 1.3.1, VD.2010.12 vom 27. Oktober 2010 E. 2.6; vgl. BGE 142 I 135 E. 1.3.1 S. 143; BGer 2C_1226/2013 vom 11. Mai 2015 E. 1).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(vgl.Stamm, Die Verwaltungsgerichtsbarkeit, in: Buser [Hrsg.], Neues Handbuch des Staats- und Verwaltungsrechts des Kantons Basel-Stadt, Basel 2008, S. 477, 500;Wullschleger/Schröder, a.a.O., 292 f.; BGE 126 I 250 E. 1b S. 252; VGE VD.2016.170 vom 21. August 2017 E. 1.3.1; mit Hinweisen).</w:t>
      </w:r>
    </w:p>
    <w:p>
      <w:r>
        <w:rPr>
          <w:b/>
        </w:rPr>
        <w:t>E. 1.2.2</w:t>
      </w:r>
    </w:p>
    <w:p>
      <w:r>
        <w:t>1.2.2.1Der Rekurs zielte in erster Linie darauf ab, der Rekurrentin in Aufhebung der Wegweisungsverfügung des Migrationsamts vom 22. August 2019 einen ausländerrechtlichen Aufenthalt zur Erbringungen von Massagedienstleistungen in der Schweiz zu ermöglichen. Wie bereits mit instruktionsrichterlicher Verfügung vom 23. September 2019, auf welche an dieser Stelle verwiesen werden kann, erwogen, macht die Rekurrentin selber nur einen Aufenthaltsanspruch zur Ausübung einer Erwerbstätigkeit bis zum 29. August 2019 geltend. Die Rekurrentin hat mit ihrem Rekurs in zeitlicher Hinsicht keinen weitergehenden Aufenthalt beantragt. Weiter ist unbestritten, dass sie die Schweiz am 27. August 2019 verlassen hat und ihr vom SEM am 23. August 2019 ein Einreiseverbot auferlegt worden ist, das einer erneuten Einreise in die Schweiz entgegensteht. Damit fehlte es der Rekurrentin bereits beim Einreichen des Rekurses an einem aktuellen Rechtsschutzinteresse gegen die Wegweisung. Die Rekurrentin legt nicht dar und es ist nicht ersichtlich, dass Gründe vorliegen, die es erlauben würden, von diesen Prozessvoraussetzungen abzusehen. Soweit die Rekurrentin geltend machen lässt, es stehe und falle alles mit der Frage der Rechtmässigkeit der Kürzung ihrer ursprünglichen Meldebestätigung, so ist festzustellen, dass diese Frage im dortigen Rechtsmittelverfahren zu klären sein wird (vgl. hierzu auch die instruktionsrichterliche Verfügung vom 23. September 2019, mit Hinweisen).</w:t>
      </w:r>
    </w:p>
    <w:p>
      <w:r>
        <w:t>Nach dem Gesagten kann daher auf den Rekurs in der Hauptsache nicht eingetreten werden.</w:t>
      </w:r>
    </w:p>
    <w:p>
      <w:r>
        <w:t>1.2.2.2Die Rekurrentin hat mit ihrem Rekurs den Entscheid des JSD vom 10. September 2019 und damit implizit auch die Spruchgebühr in Höhe von CHF 400. in Ziffer</w:t>
      </w:r>
    </w:p>
    <w:p>
      <w:r>
        <w:rPr>
          <w:b/>
        </w:rPr>
        <w:t>E. 2</w:t>
      </w:r>
    </w:p>
    <w:p>
      <w:r>
        <w:t>Die Rekurrentin hat am Kontrolltag vom 19. August 2019 weder über eine gültige Meldebestätigung noch eine Arbeitsbewilligung verfügt, weshalb sie die Wegweisungsvoraussetzungen gemäss Art. 64 Abs. 1 lit. a und b Ausländer- und Integrationsgesetz (AIG, SR 142.20) erfüllt. Die Rückkehr nach Spanien ist auch nicht unverhältnismässig und unzumutbar, was dadurch bestätigt wird, dass die Rekurrentin die Schweiz bereits am 27. August 2019 verlassen hat. Die summarische Kontrolle des angefochtenen Entscheids, auf welchen hier vollumfänglich verwiesen wird, ergibt somit, dass dieser nicht unschwer als falsch bezeichnet werden kann und der Rekurs vom Verwaltungsgericht mutmasslich abgewiesen worden wäre. Dass der vorinstanzliche Kostenentscheid aus einem anderen Grund als dem blossen Umstand, dass die Rekurrentin in der Hauptsache unterliegt, abzuändern wäre, macht die Rekurrentin zu Recht nicht geltend. Damit ist die vorinstanzliche Spruchgebühr gemäss Dispositivziffer 2 des angefochtenen Entscheids zu bestätigen.</w:t>
      </w:r>
    </w:p>
    <w:p>
      <w:r>
        <w:rPr>
          <w:b/>
        </w:rPr>
        <w:t>E. 3</w:t>
      </w:r>
    </w:p>
    <w:p>
      <w:r>
        <w:t>Aufgrund der vorstehenden Erwägungen steht zusammengefasst fest, dass auf den Rekurs nicht einzutreten ist. Der vorinstanzliche Kostenentscheid wird bestätigt. Bei diesem Ausgang des Verfahrens hat die Rekurrentin die Kosten des verwaltungsgerichtlichen Rekursverfahrens zu tragen (§ 30 Abs. 1 VRPG). Die Gebühr wird auf CHF 800. festgelegt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