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VD.2019.183 vom 15. August 2019</w:t>
      </w:r>
    </w:p>
    <w:p>
      <w:r>
        <w:t>BS Appellationsgericht, 2019-08-15, DE</w:t>
      </w:r>
    </w:p>
    <w:p>
      <w:r>
        <w:rPr>
          <w:b/>
        </w:rPr>
        <w:t xml:space="preserve">Quelle: </w:t>
      </w:r>
      <w:r>
        <w:t>https://mcp.opencaselaw.ch/entscheid/bs_appellationsgericht_VD.2019.183</w:t>
      </w:r>
    </w:p>
    <w:p>
      <w:r>
        <w:t>FR: BS_APPELLATIONSGERICHT VD.2019.183 du 15 août 2019</w:t>
      </w:r>
    </w:p>
    <w:p>
      <w:r>
        <w:t>IT: BS_APPELLATIONSGERICHT VD.2019.183 del 15 agosto 2019</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rPr>
          <w:b/>
        </w:rPr>
        <w:t>E. 1.2</w:t>
      </w:r>
    </w:p>
    <w:p>
      <w:r>
        <w:t>1.2.1Zum Rekurs und zur Beschwerde ist legitimiert, wer durch die angefochtenen Entscheide berührt ist und ein schutzwürdiges Interesse an ihrer Aufhebung oder Abänderung hat (§ 13 Abs. 1 VRPG). Dies trifft auf den Rekurrenten als Adressaten der angefochtenen Entscheide zu.</w:t>
      </w:r>
    </w:p>
    <w:p>
      <w:r>
        <w:t>1.2.2Der Rekurs muss gemäss § 171 Abs. 2 i.V.m. 164 Abs. 2 StG einen Antrag und eine Begründung enthalten. Die rekurrierende Partei muss in diesem Sinne beantragen, inwiefern der angefochtene Entscheid abzuändern ist, und die tatsächlichen oder rechtlichen Aspekte zur Begründung dieser Anträge nennen. Dabei hat sie sich zumindest konkret und genügend verständlich mit dem angefochtenen Entscheid auseinanderzusetzen (vgl.Zweifel et al., Schweizerisches Steuerverfahrensrecht, Direkte Steuern, 2. Auflage, Zürich 2018, § 24 N 34). Aus der Rekursschrift muss zumindest hervorgehen, in welchen Teilen und weshalb die steuerpflichtige Person den angefochtenen Entscheid anficht (Biaggi, in: Tarolli Schmidt et al., Kommentar zum Schweizer Steuergesetz, Basel 2019, § 165 N 40). In diesem Sinne muss eine sachbezogene Begründung vorliegen (Hunziker/Mayer-Knobel, a.a.O., Art. 140 N 41). Diesen Anforderungen genügt die eingereichte Begründung knapp, obwohl  wie sogleich aufzuzeigen sein wird  sich der Rekurrent nicht mit der zentralen Frage auseinandersetzt.</w:t>
      </w:r>
    </w:p>
    <w:p>
      <w:r>
        <w:t>1.2.3Der Rekurs wurde rechtzeitig eingereicht und insofern auch begründet (§ 171 Abs. 2 i.V.m. § 164 Abs. 2 StG). Darauf ist einzutreten.</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2</w:t>
      </w:r>
    </w:p>
    <w:p>
      <w:r>
        <w:t>2.1Die aufgrund einer rechtskräftigen Steuerveranlagung im Verfahren der kantonalen Steuern geschuldeten und noch nicht bezahlten Steuern, Zinsen, Verfahrenskosten oder Bussen einer steuerpflichtigen Person können gemäss § 201 StG i.V.m. § 146 der Steuerverordnung [StV, SG 640.110]) ganz oder teilweise erlassen werden, wenn deren Bezahlung infolge einer Notlage für sie eine grosse Härte bedeuten würde.</w:t>
      </w:r>
    </w:p>
    <w:p>
      <w:r>
        <w:t>2.1.1Eine Notlage gemäss § 201 Abs. 2 StG liegt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In jedem Fall liegt eine Notlage bei Einkommens- und Vermögenslosigkeit vor oder dann, wenn die öffentliche Hand für die Lebenshaltungskosten der steuerpflichtigen Person und deren Familie aufkommen muss. Dies gilt allerdings nur beim Bezug von Sozialhilfeleistungen uneingeschränkt (zum Ganzen VGE VD.2016.145 vom 27. Februar 2017 E. 2.2, VD.2013.155 vom 26. Februar 2014 E. 2.2).</w:t>
      </w:r>
    </w:p>
    <w:p>
      <w:r>
        <w:t>2.1.2Die zweite Voraussetzung, nämlich die durch die Notlage bedingte grosse Härte für die steuerpflichtige Person, überschneidet sich weitgehend mit dem Kriterium der Notlage selber. Während unter dem Titel der Notlage einzig die wirtschaftliche Lage der gesuchstellenden Person zu prüfen ist, können unter dem Aspekt der grossen Härte auch andere Umstände massgebend sein, namentlich die Unbilligkeit (vgl.Richner et al., Handkommentar zum DBG [Bundesgesetz über die direkte Bundessteuer], 3. Auflage, Zürich 2016, Art. 167 N 30). Ob dies der Fall ist oder nicht, beurteilt sich primär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 148 Abs. 1 StV; vgl. zum GanzenBeusch/Raas, in: Zweifel/Beusch [Hrsg.], Bundesgesetz über die direkte Bundessteuer, Kommentar zum Schweizerischen Steuerrecht, 3. Auflage, Basel 2016, Art. 167 N 14 ff.). Dabei werden insbesondere die Ursachen geprüft, die zur Notlage geführt haben.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 VGE VD.2013.155 vom 26. Februar 2014 E. 2.3; StRKE Nr. 2009-162 vom 26. August 2010 E. 3c/cc, in: BStPra 2011, S. 331, 334). Dies wird in § 201a Abs. 1 StG konkretisiert: Danach kann von einem vollständigen oder teilweisen Erlass abgesehen werden, wenn die steuerpflichtige Person ihre Pflichten im Veranlagungsverfahren schwerwiegend oder wiederholt verletzt hat (lit. a), im Zeitpunkt der Fälligkeit der Steuerforderung trotz verfügbarer Mittel weder Zahlungen leistet noch Rücklagen vornimmt (lit. b), die mangelnde Leistungsfähigkeit durch freiwilligen Verzicht auf Einkommen oder Vermögen ohne wichtigen Grund, durch übersetzte Lebenshaltung oder dergleichen leichtsinnig oder grob fahrlässig herbeigeführt hat (lit. c), während des Beurteilungszeitraums andere gleichrangige Gläubiger oder Gläubigerinnen bevorzugt behandelt (lit. d) oder überschuldet ist und ein Erlass vorab ihren übrigen Gläubigern oder Gläubigerinnen zu Gute kommen würde (lit. e; zum Ganzen auch VGE VD.2016.145 vom 27. Februar 2017).</w:t>
      </w:r>
    </w:p>
    <w:p>
      <w:r>
        <w:t>2.2Die Vorinstanz ist zu Recht zum Schluss gelangt, dass der Steuererlass nicht gewährt werden kann, weil der Rekurrent überschuldet ist und ein Steuererlass im vorliegenden Fall aufgrund des Vorliegens eines Drittgläubigers zu einer Gläubigerbevorzugung führen würde (angefochtener Entscheid, E. 5). Die Überschuldung des Rekurrenten ergibt sich aus dem Betreibungsregisterauszug des Betreibungsamts Basel-Landschaft: Danach lauten auf ihn Verlustscheine in der Höhe von CHF 14'490. für Schulden gegenüber dem kantonalen Sozialamt Basel-Landschaft (Vernehmlassung vom 18. Juni 2019, Beilage 8 [Vorakten Vorinstanz, S. 160]). Wie die Vorinstanz zutreffend erwogen hat, würde ein Verzicht der Steuerverwaltung auf die Steuerforderungen zur Bevorzugung eines anderen Gläubigers führen. Mit anderen Worten würde nicht der Rekurrent von einem Verzicht der Steuerverwaltung profitieren, sondern der andere Gläubiger, welcher beim Zugriff auf das pfändbare Einkommen und Vermögen einen Konkurrenten verlieren würde (angefochtener Entscheid, E. 4b; vgl. VGE VD.2012.101 vom 27. September 2012). Dass es sich beim Gläubiger um das kantonale Sozialamt Basel-Landschaft als öffentlich-rechtliche Anstalt handelt, ändert an dieser Beurteilung nichts; die entsprechenden Forderungen stellen eigentliche Drittschulden dar (vgl. VGE VD.2014.174 vom 26. September 2014). Damit setzt sich der Rekurrent in seinem Rekurs überhaupt nicht auseinander. Auch ein anteiliger Verzicht des anderen Gläubigers, infolgedessen ein Erlass der Steuerforderungen im selben Umfang zu prüfen wäre, wird vom Rekurrenten nicht behauptet und schon gar nicht nachgewiesen.</w:t>
      </w:r>
    </w:p>
    <w:p>
      <w:r>
        <w:rPr>
          <w:b/>
        </w:rPr>
        <w:t>E. 3</w:t>
      </w:r>
    </w:p>
    <w:p>
      <w:r>
        <w:t>Aus dem Gesagten folgt, dass der Rekurs abzuweisen ist. Der Rekurs ist als aussichtslos anzusehen (vgl. etwa VGE VD.2018.189 E. 2.1 und VD.2012.162 vom 1. Juli 2013 E. 4), weshalb dem Rekurrenten unabhängig von seinen finanziellen Verhältnissen die Kosten des Verfahrens mit einer Gebühr von CHF 500.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