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VD.2019.12 vom 13. Februar 2018</w:t>
      </w:r>
    </w:p>
    <w:p>
      <w:r>
        <w:t>BS Appellationsgericht, 2018-02-13, DE</w:t>
      </w:r>
    </w:p>
    <w:p>
      <w:r>
        <w:rPr>
          <w:b/>
        </w:rPr>
        <w:t xml:space="preserve">Quelle: </w:t>
      </w:r>
      <w:r>
        <w:t>https://mcp.opencaselaw.ch/entscheid/bs_appellationsgericht_VD.2019.12</w:t>
      </w:r>
    </w:p>
    <w:p>
      <w:r>
        <w:t>FR: BS_APPELLATIONSGERICHT VD.2019.12 du 13 février 2018</w:t>
      </w:r>
    </w:p>
    <w:p>
      <w:r>
        <w:t>IT: BS_APPELLATIONSGERICHT VD.2019.12 del 13 febbraio 2018</w:t>
      </w:r>
    </w:p>
    <w:p>
      <w:pPr>
        <w:pStyle w:val="Heading2"/>
      </w:pPr>
      <w:r>
        <w:t>Erwägungen</w:t>
      </w:r>
    </w:p>
    <w:p>
      <w:r>
        <w:rPr>
          <w:b/>
        </w:rPr>
        <w:t>E. 1</w:t>
      </w:r>
    </w:p>
    <w:p>
      <w:r>
        <w:t>1.1Gegen Entscheide der KESB kann Beschwerde an das Verwaltungsgericht geführt werden (Art. 450 Abs. 1 des Zivilgesetzbuches [ZGB, SR 210] in Verbindung mit § 17 Abs. 1 des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Verfassungs- und Verwaltungsrechtspflegegesetzes (VRPG, SG 270.100) und schliesslich die Bestimmungen der Zivilprozessordnung (ZPO, SR 272) in sinngemässer Ergänzung der kantonalen Erlasse (§ 19 Abs. 1 KESG in Verbindung mit Art. 450 ff. ZGB).</w:t>
      </w:r>
    </w:p>
    <w:p>
      <w:r>
        <w:t>1.2Der Beschwerdeführer ist als von der Verbeiständung betroffene Person nach Art. 450 Abs. 2 Ziff. 1 ZGB zur Beschwerde legitimiert. Da auch die weiteren Prozessvoraussetzungen erfüllt sind, ist auf die Beschwerde einzutreten.</w:t>
      </w:r>
    </w:p>
    <w:p>
      <w:r>
        <w:t>1.3Im Erwachsenenschutzrecht können mit einer Beschwerde Rechtsverletzungen, die unrichtige oder unvollständige Feststellung des rechtserheblichen Sachverhalts und Unangemessenheit gerügt werden (Art. 450a Abs. 1 ZGB). Die Beschwerde ist damit ein vollkommenes Rechtsmittel, das eine umfassende Überprüfung des angefochtenen Entscheids in tatsächlicher wie rechtlicher Hinsicht erlaubt. Der Beschwerdeinstanz kommt mithin freie Kognition zu (Droese/Steck, in: Basler Kommentar, 6. Auflage 2018, Art. 450a ZGB N 4, 9). Zudem sind der Verlauf der Ereignisse seit Erlass des angefochtenen Entscheids im vorliegenden Urteil zu berücksichtigen (VGE VD.2019.21 vom 13. Juni 2019 E. 6.1).</w:t>
      </w:r>
    </w:p>
    <w:p>
      <w:r>
        <w:t>1.4Der Präsident des Verwaltungsgerichts kann eine mündliche Verhandlung ansetzen oder  wenn kein Anwendungsfall von Art. 6 Ziff. 1 der Europäischen Menschenrechtskonvention (EMRK, SR 0.101) vorliegt bzw. die Durchführung einer Verhandlung nicht verlangt wird  stattdessen bloss eine Beratung anordnen oder den Entscheid mittels Zirkulationsbeschluss herbeiführen (§ 25 Abs. 2 VRPG). Mit Verfügung vom 3. April 2019 hat der Präsident eine Verhandlung angesetzt und die Beteiligten wurden für den 16. August 2019 vorgeladen. Auf Gesuch des Beschwerdeführers hin wurde die Verhandlung auf den 5. November 2019 verschoben. Der Beschwerdeführer hat sowohl am Vortag und als auch am Tag des Verhandlungstermins ein Verschiebungsgesuch gestellt, da er sich nicht habe genügend vorbereiten können (act. 7 und 8). Als Beleg reichte er eine ärztliche Bescheinigung des Oberarztes der Psychiatrie des Spitals Affoltern ein, worin bestätigt wird, dass der anstehende Gerichtstermin beim Beschwerdeführer eine hohe psychische Anspannung auslöse, da er sich unter anderem seinen Angaben zufolge nicht hinreichend habe vorbereiten können. Die ärztliche Bescheinigung legt allerdings keine ausreichenden medizinischen Gründe dar, die eine Verhandlungsteilnahme verunmöglichen. Nachdem der Verfahrensleiter bereits einmal eine Verhandlung auf Wunsch des Beschwerdeführers hin verschoben hatte, wurde nun mit vorab per Fax zugestellten Verfügungen vom</w:t>
      </w:r>
    </w:p>
    <w:p>
      <w:r>
        <w:rPr>
          <w:b/>
        </w:rPr>
        <w:t>E. 4</w:t>
      </w:r>
    </w:p>
    <w:p>
      <w:r>
        <w:t>4.1Zusammenfassend ergibt sich, dass die Voraussetzungen für eine Verbeiständung mit Vermögensverwaltung im Sinn von Art. 394 Abs. 1 in Verbindung mit Art. 395 Abs. 1 ZGB erfüllt sind. Die Beschwerde erweist sich folglich als unbegründet und ist abzuweisen.</w:t>
      </w:r>
    </w:p>
    <w:p>
      <w:r>
        <w:t>4.2Bei diesem Ausgang des Verfahrens sind dessen Kosten grundsätzlich dem unterliegenden Beschwerdeführer aufzuerlegen (Art. 30 Abs. 1 VRPG). Wenn man von einer Berücksichtigung des ihm zugesprochenen Solidaritätsbeitrags des Bundes absieht, lebt der Beschwerdeführer aber offensichtlich in einer angespannten finanziellen Situation. Daher sind die Verfahrenskosten mit einer Gebühr von CHF 500.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