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VD.2018.215 vom 3. April 2009</w:t>
      </w:r>
    </w:p>
    <w:p>
      <w:r>
        <w:t>BS Appellationsgericht, 2009-04-03, DE</w:t>
      </w:r>
    </w:p>
    <w:p>
      <w:r>
        <w:rPr>
          <w:b/>
        </w:rPr>
        <w:t xml:space="preserve">Quelle: </w:t>
      </w:r>
      <w:r>
        <w:t>https://mcp.opencaselaw.ch/entscheid/bs_appellationsgericht_VD.2018.215</w:t>
      </w:r>
    </w:p>
    <w:p>
      <w:r>
        <w:t>FR: BS_APPELLATIONSGERICHT VD.2018.215 du 3 avril 2009</w:t>
      </w:r>
    </w:p>
    <w:p>
      <w:r>
        <w:t>IT: BS_APPELLATIONSGERICHT VD.2018.215 del 3 aprile 2009</w:t>
      </w:r>
    </w:p>
    <w:p>
      <w:pPr>
        <w:pStyle w:val="Heading2"/>
      </w:pPr>
      <w:r>
        <w:t>Erwägungen</w:t>
      </w:r>
    </w:p>
    <w:p>
      <w:r>
        <w:rPr>
          <w:b/>
        </w:rPr>
        <w:t>E. 1</w:t>
      </w:r>
    </w:p>
    <w:p>
      <w:r>
        <w:t>1.1Gegen Entscheide der KESB kann gemäss Art. 450 Abs. 1 in Verbindung mit Art. 440 Abs.</w:t>
      </w:r>
    </w:p>
    <w:p>
      <w:r>
        <w:rPr>
          <w:b/>
        </w:rPr>
        <w:t>E. 3</w:t>
      </w:r>
    </w:p>
    <w:p>
      <w:r>
        <w:t>und Art. 314 Abs. 1 ZGB sowie § 17 Abs. 1 des kantonalen Kindes- und Erwachsenenschutzgesetzes (KESG, SG 212.400) Beschwerde an das Verwaltungsgericht geführt werden. Zuständig ist an sich das Dreiergericht (§ 92 Abs. 1 Ziff. 10 des Gesetzes betreffend die Organisation der Gerichte und der Staatsanwaltschaft [Gerichtsorganisationsgesetz; GOG, SG 154.100]). Für die Abschreibung des Verfahrens infolge Gegenstandslosigkeit ist indes die Verfahrensleitung zuständig (§ 45 GOG). Vorliegend sind diese Voraussetzungen erfüllt (vgl. E. 1.4 hiernach), weshalb der Einzelrichter des Verwaltungsgerichts zuständig ist.</w:t>
      </w:r>
    </w:p>
    <w:p>
      <w:r>
        <w:t>1.2Auf das Beschwerdeverfahren kommen die Verfahrensbestimmungen des Zivilgesetzbuchs (Art. 314 Abs. 1 in Verbindung mit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Schweizerische Zivilprozessordnung (ZPO, SR 272).</w:t>
      </w:r>
    </w:p>
    <w:p>
      <w:r>
        <w:t>1.3Zur Beschwerde befugt sind gemäss Art. 450 Abs. 2 Ziff. 1 ZGB die am Verfahren beteiligten Personen. Die Beschwerdeführerin war am Verfahren direkt beteiligt und somit gemäss Art. 450 Abs. 2 in Verbindung mit Art. 314 Abs. 1 ZGB zur Beschwerde legitimiert. Sie erhob die Beschwerde rechtzeitig innert der Frist gemäss Art. 450 Abs. 3 in Verbindung mit Art. 450b Abs. 1 ZGB.</w:t>
      </w:r>
    </w:p>
    <w:p>
      <w:r>
        <w:t>1.4Die Beschwerdebefugnis der Beschwerdeführerin gemäss Art. 450 Abs. 2 Ziff. 1 ZGB setzt ein schutzwürdiges Interesse an der Beurteilung ihrer Rechtsbegehren voraus. Um schutzwürdig zu sein, muss das Rechtsschutzinteresse im Zeitpunkt der Entscheidung über das Rechtsmittel aktuell sein (Droese/Steck,in: Basler Kommentar, 6. Auflage, 2018, Art. 450 ZGB N 29;Rhinow/Koller/Kiss/Thurnherr/Brühl-Moser, Öffentliches Prozessrecht, 3. Auflage, Basel 2014, Rz. 1925, 1931). Diese Bedingung ist erfüllt, wenn die Gutheissung der Beschwerde dem Beschwerdeführer einen praktischen Nutzen eintragen würde. Entfällt das schutzwürdige Interesse während des Verfahrens, ist das Verfahren als gegenstandslos abzuschreiben (vgl. dazuRhinowet al., a.a.O., Rz. 1677;Schwank, Das verwaltungsinterne Rekursverfahren des Kantons Basel-Stadt, in: Buser [Hrsg.], Neues Handbuch des Staats- und Verwaltungsrechts des Kantons Basel-Stadt, Basel 2008, S. 435, 447, 467;Wullschleger/Schröder, Praktische Fragen des Verwaltungsprozesses im Kanton Basel-Stadt, BJM 2005, S. 277, 292; VGE VD.2018.69 vom 20. November 2018 E. 1.4, VD.2016.40 vom 21. Juni 2016 E. 1.2, VD.2014.128 und VD.2014.134 vom 2. Oktober 2014 E. 1.2; vgl. für das Bundesrecht BGE 137 I 23 E. 1.3.1 S. 24). Mit dem Erfordernis des aktuellen Beschwerdeinteresses wird sichergestellt, dass einer Behörde nur konkrete und nicht bloss theoretische oder abstrakte Rechtsfragen unterbreitet werden (Schwank, a.a.O., S. 435, 447; VGE VD.2018.69 vom 20. November 2018 E. 1.4, VD.2014.175 vom 25. November 2014 E. 1.2, VD.2012.13 vom 17. Februar 2014 E. 1.2; vgl. für das Bundesrecht BGE 131 I 153 E. 1.2 S. 157). Auf das Erfordernis des aktuellen Interesses wird indes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477, 500;Wullschleger/Schröder, a.a.O., S. 277, 292 f.; BGE 126 I 250 E. 1b S. 252; VGE VD.2017.279 vom 21. Januar 2019 E. 2.4, VD.2016.49 vom 19. Juni 2017 E. 1.3, VD.2015.268 vom 23. Juni 2016 E. 1.3, mit Hinweisen).</w:t>
      </w:r>
    </w:p>
    <w:p>
      <w:r>
        <w:t>Anfechtungsobjekt der vorliegenden Beschwerde vom 26. November 2018 bildet der Entscheid der KESB vom 25. Oktober 2018. Mit diesem Entscheid lehnte die KESB den Antrag der Beschwerdeführerin auf Aufhebung der für C____ bestehenden Beistandschaft ab und entschied, die Beistandschaft aufrechtzuerhalten. Sodann wurde der Antrag der Beschwerdeführerin auf Wechsel der Beistandsperson abgelehnt. Auf den Antrag auf Abänderung des Scheidungsurteils vom 14. April 2015 hinsichtlich der Umteilung des Sorgerechts sowie der faktischen Obhut trat die KESB nicht ein. Die Beschwerdeführerin beantragt die Aufhebung des angefochtenen Entscheids.</w:t>
      </w:r>
    </w:p>
    <w:p>
      <w:r>
        <w:t>Am [...] vollendete C____ sein 18. Lebensjahr und wurde volljährig. Damit endete die elterliche Sorge über ihn gemäss Art. 296 Abs. 2 ZGB. Es besteht daher kein Interesse mehr an der Beurteilung der Anträge der Beschwerdeführerin auf Umteilung des Sorgerechts und der faktischen Obhut. Auch Kindesschutzmassnahmen haben grundsätzlich keinen Bestand über die Volljährigkeit eines Kindes hinaus, weshalb die Beistandschaft für C____ mit Vollendung seines 18. Lebensjahres endete. Daher fällt auch das Rechtsschutzinteresse bezüglich der Anträge auf Aufhebung dieser Beistandschaft und Wechsel der Beistandsperson weg. Insofern fehlt ein schutzwürdiges Interesse der Beschwerdeführerin an der Beurteilung aller ihrer ursprünglichen Anträge im Zeitpunkt der Entscheidung über ihre Beschwerde.</w:t>
      </w:r>
    </w:p>
    <w:p>
      <w:r>
        <w:t>2.</w:t>
      </w:r>
    </w:p>
    <w:p>
      <w:r>
        <w:t>Aus diesen Erwägungen folgt, dass das Beschwerdeverfahren zufolge Gegenstandslosigkeit als erledigt abzuschreiben ist. Bei dieser Sachlage kann offenbleiben, ob auch mangels genügender Begründung der Beschwerde innert der gesetzlichen Frist nach Art. 450 Abs. 3 in Verbindung mit Art. 450b Abs. 1 ZGB auf die Beschwerde nicht eingetreten werden könnte. Umständehalber wird auf die Erhebung von Kosten für das Beschwerdeverfahren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