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VD.2018.130 vom 5. November 2018</w:t>
      </w:r>
    </w:p>
    <w:p>
      <w:r>
        <w:t>BS Appellationsgericht, 2018-11-05, DE</w:t>
      </w:r>
    </w:p>
    <w:p>
      <w:r>
        <w:rPr>
          <w:b/>
        </w:rPr>
        <w:t xml:space="preserve">Quelle: </w:t>
      </w:r>
      <w:r>
        <w:t>https://mcp.opencaselaw.ch/entscheid/bs_appellationsgericht_VD.2018.130</w:t>
      </w:r>
    </w:p>
    <w:p>
      <w:r>
        <w:t>FR: BS_APPELLATIONSGERICHT VD.2018.130 du 5 novembre 2018</w:t>
      </w:r>
    </w:p>
    <w:p>
      <w:r>
        <w:t>IT: BS_APPELLATIONSGERICHT VD.2018.130 del 5 novembre 2018</w:t>
      </w:r>
    </w:p>
    <w:p>
      <w:pPr>
        <w:pStyle w:val="Heading2"/>
      </w:pPr>
      <w:r>
        <w:t>Erwägungen</w:t>
      </w:r>
    </w:p>
    <w:p>
      <w:r>
        <w:rPr>
          <w:b/>
        </w:rPr>
        <w:t>E. 1</w:t>
      </w:r>
    </w:p>
    <w:p>
      <w:r>
        <w:t>1.1Gemäss § 37 Abs. 2 und 3 des Gesetzes über die Industriellen Werke Basel (IWB-Gesetz, SG 772.300) unterliegen Entscheide der IWB über Einsprachen gegen Rechnungen gemäss den Bestimmungen des Organisationsgesetzes (OG, SG 153.100) der Beschwerde an den Regierungsrat. Die Zuständigkeit des Verwaltungsgerichts zur Beurteilung des vorliegenden Rekurses ergibt sich aus § 42 OG in Verbindung mit § 12 des Gesetzes über die Verfassungs- und Verwaltungsrechtspflege (VRPG, SG 270.100) sowie dem Überweisungsbeschluss des Präsidialdepartements vom 16. Juli 2018. Zuständig ist das Dreiergericht (§ 92 Abs. 1 Ziff. 11 des Gerichtsorganisationsgesetzes [SG 154.100]). Der Rekurrent ist als Rechnungsschuldner vom angefochtenen Entscheid unmittelbar berührt und hat ein schutzwürdiges Interesse an dessen Aufhebung. Er ist daher gemäss § 13 Abs. 1 VRPG zum Rekurs legitimiert.</w:t>
      </w:r>
    </w:p>
    <w:p>
      <w:r>
        <w:rPr>
          <w:b/>
        </w:rPr>
        <w:t>E. 2</w:t>
      </w:r>
    </w:p>
    <w:p>
      <w:r>
        <w:t>2.1Sowohl gemäss §46 Abs. 2 OG als auch § 16 Abs. 2VRPG hat die Rekursbegründung Anträge, Angaben der Tatsachen und Beweismittel sowie kurze Rechtserörterungen zu enthalten (VGE VD.2017.253 vom 18. Juni 2018 E. 1.2.2,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(VGE VD.2017.253 vom 18. Juni 2018 E. 1.2.2, VD.2012.191 vom 12. Juni 2013 E. 2.2.2, VD.2012.245 vom 27. März 2013 E. 2.1).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substantiiert, sondern auch sachbezogen sein (VGE VD.2017.17 vom 18. Mai 2017 E. 3.1.1, VD.2016.221 vom 16. November 2017 E. 1.2.1, VD.2015.260 vom 19. Oktober 2016 E. 1.4, VD.2016.60 vom 30. Septem-ber 2016 E. 1.3.1; VGE 606/2005 vom 4. Juli 2005 E. 2.3; vgl.Stamm, a.a.O., S. 477, S. 504;Wullschleger/Schröder, a.a.O., S. 277, 305). Wenn sich der Rekurrent mit den Erwägungen der Vorinstanz nicht substantiiert auseinandersetzt, ist auf den Rekurs nicht einzutreten (VGE VD.2017.17 vom 18. Mai 2017 E. 3.1.1, VD.2014.77 vom 30. Juli 2014 E. 1.3; VGE 606/2005 vom 4. Juli 2005 E. 2.3 und 4;Stamm, a.a.O., S. 477, S. 513). Im Übrigen gilt im Verwaltungsgerichtsverfahren das Rügeprinzip (VGE VD.2017.17 vom 18. Mai 2017 E. 3.1.1, VD.2016.221 vom 16. November 2017 E. 1.2.1, VD.2015.260 vom 19. Oktober 2016 E. 1.4, VD.2016.66 vom 20. Juni 2016 E. 1.3;Stamm, a.a.O., S. 477, 504). DasVerwaltungsgerichtprüft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VD.2016.221 vom 16. November 2017 E. 1.2.1, VD.2015.260 vom 19. Oktober 2016 E. 1.4, VD.2016.60 vom 30. September 2016 E. 1.3.1, VD.2016.66 vom 20. Juni 2016 E. 1.3, VD.2015.91 vom 6. August 2015 E. 1.2.1;Wullschleger/Schröder, a.a.O., S. 277, 305). Die Rügen sind dabei innert der Begründungsfrist mit der Rekursbegründung zu erheben. Versäumtes kann mit der Replik nicht mehr nachgeholt werden (VGE VD.2016.221 vom 16. November 2017 E. 1.2.1, VD.2011.23 vom 22. März 2012 E. 3.3; VGE 657/2008 vom 18. November 2008 E. 1.4). Zusätzliche Vorbringen sind in der Replik nur noch insoweit zulässig, als erst die Rekursvernehmlassung der Vorinstanz dazu Anlass gegeben hat (VGE VD.2016.221 vom 16. November 2017 E. 1.2.1, VD.2012.106 vom 23. Mai 2013 E. 1.2.1, VD.2011.23 vom 22. März 2012 E. 3.3; VGE 657/2008 vom 18. November 2008 E. 1.4).</w:t>
      </w:r>
    </w:p>
    <w:p>
      <w:r>
        <w:t>2.2In seiner Rekursbegründung behauptet der Rekurrent, die IWB hätten in der Begründung der angefochtenen Verfügung gegenüber seiner Darstellung abweichende Sachverhalte unterstellt. Er bleibe bei seiner Darstellung und bestreite diejenige der IWB (Rekursbegründung, Ziff. 2). Worin die Abweichung liegen sollen, kann der Rekursbegründung aber nicht entnommen werden. Weiter macht der Rekurrent geltend, die IWB hätten seine Auskunftsbegehren im Wesentlichen nicht beantwortet (Rekursbegründung, Ziff. 4). Er begründet jedoch nicht, weshalb die teilweise Verweigerung der verlangten Auskünfte durch die IWB zu Unrecht erfolgt sein sollte und setzt sich mit den diesbezüglichen Erwägungen in der Begründung der angefochtenen Verfügung nicht auseinander. Insgesamt setzt sich der Rekurrent mit den Erwägungen der Vorinstanz nicht auseinander und legt er nicht substantiiert dar, inwiefern und weshalb die angefochtene Verfügung, in deren Begründung festgestellt worden ist, dass die Rechnung den geltenden gesetzlichen Grundlagen entspricht und korrekt ist, fehlerhaft sein sollte. Damit genügt die Rekursbegründung des Rekurrenten, der promovierter Jurist und im Anwaltsregister des Kantons Basel-Stadt eingetragener Advokat ist, den gesetzlichen Anforderungen klarerweise nicht. Folglich ist auf den Rekurs nicht einzutreten. Im Übrigen wäre auf den Rekurs auch mangels Anträgen in der Sache nicht einzutreten. Der Rekurrent stellt in seiner Rekursbegründung ausschliesslich Auskunfts- und Editionsanträge sowie einen Kostenantrag. Ob und wenn ja inwiefern die angefochtene Verfügung aufgehoben oder abgeändert werden soll, kann weder den Anträgen noch der Begründung entnommen werden.</w:t>
      </w:r>
    </w:p>
    <w:p>
      <w:r>
        <w:t>2.3Die Frage, ob die Rekursbegründung den formellen gesetzlichen Anforderungen genügt, ist eine reine Rechtsfrage. Gestützt auf die Verneinung dieser Frage ergeht ein Nichteintretensentscheid. Aus diesen Gründen vermittelte Art. 6 Ziff. 1 der Europäischen Menschenrechtskonvention (SR 0.101) dem Rekurrenten selbst dann keinen Anspruch auf eine mündliche öffentliche Verhandlung, wenn sein Rekurs in der Sache eine Streitigkeit über einen zivilrechtlichen Anspruch im Sinn dieser Bestimmung beträfe (VGE VD.2016.189 vom 18. Januar 2017 E. 1.5, VD.2014.49 vom 17. Dezember 2014 E. 1.3, VD.2010.51 vom 20. Mai 2011 E. 2.3, VD.2009.625 vom 21. Dezember 2009 E. 1.3;Wullschleger/Schröder, a.a.O., S. 277, 290). Der Entscheid kann deshalb mittels Zirkulationsbeschluss herbeigeführt werden (vgl. § 25 Abs. 2 und 3 VRPG). Dabei ist zu berücksichtigen, dass im vorliegenden Fall gemäss § 23 Abs. 2 VRPG wegen offensichtlicher Unzulässigkeit des Rekurses sogar auf eine Vernehmlassung hat verzichtet werden können.</w:t>
      </w:r>
    </w:p>
    <w:p>
      <w:r>
        <w:rPr>
          <w:b/>
        </w:rPr>
        <w:t>E. 3</w:t>
      </w:r>
    </w:p>
    <w:p>
      <w:r>
        <w:t>Entsprechend dem Ausgang des Rekursverfahrens hat der Rekurrent gemäss § 30 Abs. 1 VRPG die Verfahrenskosten zu tragen, die auf CHF 1'000.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