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 vom 20. April 2017</w:t>
      </w:r>
    </w:p>
    <w:p>
      <w:r>
        <w:t>BS Appellationsgericht, 2017-04-20, DE</w:t>
      </w:r>
    </w:p>
    <w:p>
      <w:r>
        <w:rPr>
          <w:b/>
        </w:rPr>
        <w:t xml:space="preserve">Quelle: </w:t>
      </w:r>
      <w:r>
        <w:t>https://mcp.opencaselaw.ch/entscheid/bs_appellationsgericht_VD.2017.8</w:t>
      </w:r>
    </w:p>
    <w:p>
      <w:r>
        <w:t>FR: BS_APPELLATIONSGERICHT VD.2017.8 du 20 avril 2017</w:t>
      </w:r>
    </w:p>
    <w:p>
      <w:r>
        <w:t>IT: BS_APPELLATIONSGERICHT VD.2017.8 del 20 aprile 2017</w:t>
      </w:r>
    </w:p>
    <w:p>
      <w:pPr>
        <w:pStyle w:val="Heading2"/>
      </w:pPr>
      <w:r>
        <w:t>Erwägungen</w:t>
      </w:r>
    </w:p>
    <w:p>
      <w:r>
        <w:rPr>
          <w:b/>
        </w:rPr>
        <w:t>E. 1</w:t>
      </w:r>
    </w:p>
    <w:p>
      <w:r>
        <w:t>1.1Das Präsidialdepartement des Kantons Basel-Stadt hat den Rekurs mit Schreiben vom 11. Januar 2017 dem Verwaltungsgericht zum Entscheid überwiesen, womit gemäss § 42 des Organisationsgesetzes (OG, SG 153.100) in Verbindung mit § 12 des Verwaltungsrechtspflegegesetzes (VRPG, SG 270.100) dessen Zuständigkeit gegeben ist. Zuständig ist das Dreiergericht (§ 88 Abs. 2 in Verbindung mit § 92 Abs. 1 Ziff. 11 und § 99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1.4Gemäss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w:t>
      </w:r>
    </w:p>
    <w:p>
      <w:r>
        <w:t>Vorliegend wies der instruierende Appellationsgerichtspräsident mit Verfügung vom 28. März 2017 den Rekurrenten auf die Möglichkeit hin, die Durchführung einer öffentlichen Parteiverhandlung innert Frist bis zum 10. April 2017, nicht erstreckbar, zu verlangen, ansonsten er auf die Durchführung einer Parteiverhandlung verzichte. Davon machte der Rekurrent keinen Gebrauch, weshalb der vorliegende Entscheid auf dem Zirkulationsweg erging.</w:t>
      </w:r>
    </w:p>
    <w:p>
      <w:r>
        <w:rPr>
          <w:b/>
        </w:rPr>
        <w:t>E. 2</w:t>
      </w:r>
    </w:p>
    <w:p>
      <w:r>
        <w:t>2.1Aus der in § 5 des Sozialhilfegesetzes (SHG, SG 890.100) verankerten Subsidiarität der Sozialhilfe folgt, dass die zumutbare Selbsthilfe der bedürftigen Person der staatlichen Unterstützung vorgeht. Demgemäss hat nach § 19 Abs. 1 SHG derjenige, der durch unwahre oder unvollständige Angaben, durch Verletzung der Meldepflicht oder in anderer Weise unrechtmässig die Ausrichtung von wirtschaftlicher Hilfe erwirkt, den zu Unrecht bezogenen Betrag zurückzuerstatten. Dabei ist grundsätzlich jeder Bezug unrechtmässig, der ohne rechtsgenügliche Grundlage erfolgte, wobei ein versehentliches Ausrichten von Unterstützungsleistungen durch die Sozialhilfe genügt. Dies gilt unter dem im öffentlichen Recht geltenden Grundsatz der Rückforderung von ungerechtfertigten Bereicherungen selbst dann, wenn dem Rekurrenten keine Verletzung der Meldepflicht vorgeworfen werden kann. Dies ergibt sich zum einen aus § 19 Abs. 2 SHG, welcher vorsieht, dass auch eine gutgläubige Bereicherung zurückzuerstatten ist. Zum anderen wäre es mit dem Gebot der rechtsgleichen Behandlung aller Sozialhilfebezüger nicht vereinbar, wenn ungerechtfertigte Bereicherungen toleriert würden (VGE VD.2010.216 vom 7. November 2011 bestätigt in BGer 8C_79/2012 vom 10. Mai 2012 E. 4). Somit können Zuwendungen, die aus einem nicht verwirklichten oder nachträglich weggefallenen Grund erfolgten, zurückgefordert werden (vgl. dazuHäfelin/Müller/Uhlmann, Allgemeines Verwaltungsrecht,</w:t>
      </w:r>
    </w:p>
    <w:p>
      <w:r>
        <w:rPr>
          <w:b/>
        </w:rPr>
        <w:t>E. 7</w:t>
      </w:r>
    </w:p>
    <w:p>
      <w:r>
        <w:t>Auflage 2016, Rz. 148).</w:t>
      </w:r>
    </w:p>
    <w:p>
      <w:r>
        <w:t>2.2Der Rekurrent bestreitet die Rückerstattungspflicht mit dem Argument, er habe die Zuwendung von CHF 8800. nicht von der Sozialhilfe, sondern von seiner Mutter erhalten und für erforderliche Ausgaben verwendet. Dieser Rüge ist entgegenzuhalten, dass die Sozialhilfe nicht das Geld seiner Mutter, sondern ihre eigenen Leistungen zurückfordert. Diese hat sie im Umfang von CHF 8800. zu Unrecht erbracht, weil der Rekurrent das von seiner Mutter erhaltene Geld nach dem Subsidiaritätsprinzip für seinen notwendigen Lebensunterhalt anstatt für nicht lebensnotwendige Auslagen hätte verwenden müssen und diese Leistungen dem Rekurrenten deshalb bei pflichtgemässer Meldung angerechnet worden wären. Der Rekurrent hat diese von der Sozialhilfe ohne Rechtsgrund ausgerichteten Leistungen im Sinne der obigen Erwägung (E. 2.1) auch dann zurückzuerstatten, wenn ihm mangels Urteilsfähigkeit (act. 4, Beilage 6, Arztzeugnis vom 1. Juli 2016) keine Verletzung der Meldepflicht vorgeworfen werden kann. Ob die Vorinstanz eine dem Rekurrenten zurechenbare Meldepflichtverletzung zu Recht bejaht hat, kann demnach offen bleiben.</w:t>
      </w:r>
    </w:p>
    <w:p>
      <w:r>
        <w:t>3.</w:t>
      </w:r>
    </w:p>
    <w:p>
      <w:r>
        <w:t>Die Höhe der Rückerstatzungsforderung wird vom Rekurrenten nicht beanstandet, weshalb nicht näher darauf einzugehen ist. Hingegen bestreitet der Rekurrent die Zinspflicht von 5 %. Darin kann dem Rekurrenten nicht gefolgt werden. Gemäss § 20 SHG ist die Rückerstattungsforderung unrechtmässig bezogener Leistungen ab deren Bezug zu verzinsen, wobei der Zinssatz vom Departement festgelegt wird. Gestützt auf diese Delegationsnorm hat das Departement in Ziff. 16 URL den Zinssatz für Rückforderungen auf 5 % festgesetzt. Der anwendbare Zinssatz entspricht dem in Art. 104 Abs. 1 OR formellgesetzlich festgesetzten Verzugszinssatz von 5 %, welcher im Verwaltungsrecht auch bei fehlender Anordnung als Ausdruck eines allgemeinen Rechtsgrundsatzes analoge Anwendung findet (BGer 9C_62/2013 vom 27. Mai 2013 E. 3.3.3;Häfelin/Müller/Uhlmann, a.a.O., N 191 und N 756 ff.;Kieser, ATSG-Kommentar, 2. Auflage, Zürich 2009, Art. 26 ATSG N 38 m.H.; VGE VD.2016.35 vom 11. November 2016 E. 7.2).</w:t>
      </w:r>
    </w:p>
    <w:p>
      <w:r>
        <w:t>4.</w:t>
      </w:r>
    </w:p>
    <w:p>
      <w:r>
        <w:t>Nach dem hievor Gesagten erweist sich der angefochtene Entscheid als rechtens. Der dagegen erhobene Rekurs ist offensichtlich unbegründet und daher abzuweisen. Bei diesem Ausgang des Verfahrens trägt der Rekurrent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