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VD.2016.251 vom 3. April 2017</w:t>
      </w:r>
    </w:p>
    <w:p>
      <w:r>
        <w:t>BS Appellationsgericht, 2017-04-03, DE</w:t>
      </w:r>
    </w:p>
    <w:p>
      <w:r>
        <w:rPr>
          <w:b/>
        </w:rPr>
        <w:t xml:space="preserve">Quelle: </w:t>
      </w:r>
      <w:r>
        <w:t>https://mcp.opencaselaw.ch/entscheid/bs_appellationsgericht_VD.2016.251</w:t>
      </w:r>
    </w:p>
    <w:p>
      <w:r>
        <w:t>FR: BS_APPELLATIONSGERICHT VD.2016.251 du 3 avril 2017</w:t>
      </w:r>
    </w:p>
    <w:p>
      <w:r>
        <w:t>IT: BS_APPELLATIONSGERICHT VD.2016.251 del 3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 die Prozessvoraussetzungen somit erfüllt sind, ist auf den Rekurs einzutreten.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