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VD.2016.189 vom 24. Februar 2014</w:t>
      </w:r>
    </w:p>
    <w:p>
      <w:r>
        <w:t>BS Appellationsgericht, 2014-02-24, DE</w:t>
      </w:r>
    </w:p>
    <w:p>
      <w:r>
        <w:rPr>
          <w:b/>
        </w:rPr>
        <w:t xml:space="preserve">Quelle: </w:t>
      </w:r>
      <w:r>
        <w:t>https://mcp.opencaselaw.ch/entscheid/bs_appellationsgericht_VD.2016.189</w:t>
      </w:r>
    </w:p>
    <w:p>
      <w:r>
        <w:t>FR: BS_APPELLATIONSGERICHT VD.2016.189 du 24 février 2014</w:t>
      </w:r>
    </w:p>
    <w:p>
      <w:r>
        <w:t>IT: BS_APPELLATIONSGERICHT VD.2016.189 del 24 febbraio 2014</w:t>
      </w:r>
    </w:p>
    <w:p>
      <w:pPr>
        <w:pStyle w:val="Heading2"/>
      </w:pPr>
      <w:r>
        <w:t>Erwägungen</w:t>
      </w:r>
    </w:p>
    <w:p>
      <w:r>
        <w:rPr>
          <w:b/>
        </w:rPr>
        <w:t>E. 1</w:t>
      </w:r>
    </w:p>
    <w:p>
      <w:r>
        <w:t>EMRK (Konvention zum Schutze der Menschenrechte und Grundfreiheiten, SR.0.101) zur Debatte (vgl. VGE VD.2010.51 vom 20. Mai 2011 E. 2.3; VD.2009.625 vom 21. Dezember 2009 E. 1.3). Daher kann auf eine öffentliche Verhandlung verzichtet werden. Darüber hinaus hat der Rekurrent keine Durchführung einer mündlichen Verhandlung beantragt, so dass der Entscheid wie angekündigt schriftlich ergeht (§ 25 Abs. 2 und 3 VRPG).</w:t>
      </w:r>
    </w:p>
    <w:p>
      <w:r>
        <w:rPr>
          <w:b/>
        </w:rPr>
        <w:t>E. 2</w:t>
      </w:r>
    </w:p>
    <w:p>
      <w:r>
        <w:t>Gemäss Art. 30 Abs. 1 OHG werden im Rekursverfahren betreffend Opferhilfe keine Verfahrenskosten erhoben, soweit nicht von einer mutwilligen Prozessführung im Sinne von Art. 30 Abs. 2 OHG gesprochen werden kann. Diese Voraussetzung ist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