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VD.2015.53 vom 26. Mai 2015</w:t>
      </w:r>
    </w:p>
    <w:p>
      <w:r>
        <w:t>BS Appellationsgericht, 2015-05-26, DE</w:t>
      </w:r>
    </w:p>
    <w:p>
      <w:r>
        <w:rPr>
          <w:b/>
        </w:rPr>
        <w:t xml:space="preserve">Quelle: </w:t>
      </w:r>
      <w:r>
        <w:t>https://mcp.opencaselaw.ch/entscheid/bs_appellationsgericht_VD.2015.53</w:t>
      </w:r>
    </w:p>
    <w:p>
      <w:r>
        <w:t>FR: BS_APPELLATIONSGERICHT VD.2015.53 du 26 mai 2015</w:t>
      </w:r>
    </w:p>
    <w:p>
      <w:r>
        <w:t>IT: BS_APPELLATIONSGERICHT VD.2015.53 del 26 maggio 2015</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den Bestimmungen des VRPG (§ 171 Abs. 4 StG).</w:t>
      </w:r>
    </w:p>
    <w:p>
      <w:r>
        <w:t>Gemäss Art. 145 Abs. 1 des Bundesgesetzes über die direkte Bundessteuer (DBG; SR 642.11) kann das kantonale Recht den Weiterzug des Beschwerdeentscheides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 E. 1.1).</w:t>
      </w:r>
    </w:p>
    <w:p>
      <w:r>
        <w:t>Das Verwaltungsgericht ist somit für die Beurteilung des vorliegenden Rekurses (kantonale Steuern) ebenso wie für die Beschwerde (direkte Bundessteuer) sowohl funktionell als auch sachlich zuständig.</w:t>
      </w:r>
    </w:p>
    <w:p>
      <w:r>
        <w:t>1.2Bei der vorliegend angefochtenen Abweisung des Gesuchs um unentgeltliche Prozessführung handelt es sich um eine prozessleitende Verfügung. Gemäss § 10 Abs. 2 VRPG ist die selbständige Anfechtung von prozessleitenden Verfügungen als Zwischenverfügungen nur zulässig, wenn diese für die Betroffenen einen nicht wieder gutzumachenden Nachteil bewirken können. Ein derartiger Nachteil ist bei Verweigerung der unentgeltlichen Prozessführung nach ständiger Praxis ohne weiteres zu bejahen (Wullschleger/Schröder, Praktische Fragen des Verwaltungsprozesses im Kanton Basel-Stadt, BJM 2005, S. 277 f., 281 f.; vgl. VGE VD.2011.59 vom 27. Oktober 2011 und VGE 732/2005 vom 19. Januar 2006, je m.w.H.).</w:t>
      </w:r>
    </w:p>
    <w:p>
      <w:r>
        <w:t>1.3Der Rekurrent ist als Adressat der angefochtenen Zwischenverfügung von dieser unmittelbar berührt und hat ein schutzwürdiges Interesse an deren Aufhebung oder Abänderung, weshalb er gemäss § 13 VRPG zum Rekurs bzw. zur Beschwerde legitimiert ist. Auf das rechtzeitig eingereichte Rechtsmittel ist somit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Gegenstand des vorliegenden Verfahrens bildet (nur) die Abweisung eines Gesuchs um unentgeltliche Prozessführung für das Verfahren vor der Steuerrekurskommission und die Festsetzung eines Kostenvorschusses von CHF 500. in jenem Verfahren.</w:t>
      </w:r>
    </w:p>
    <w:p>
      <w:r>
        <w:t>2.1Der Anspruch auf unentgeltliche Prozessführung und Verbeiständung wird in erster Linie durch das kantonale Prozessrecht geregelt. Daneben besteht er auch unmittelbar aufgrund von Art. 29 Abs. 3 der Bundesverfassung (BV; SR 101; vgl. auch Art. 6 Ziff. 3 lit. c EMRK).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128 I 225 E. 2.3 S. 227, m.w.H.; vgl. VGEVD.2011.59 vom 27. Oktober 2011 E. 2.1und VGE 642/2003 vom 4. August 2003 E. 3a = BJM 2005 S. 100 ff.). Für das Verfahren vor der Steuerrekurskommission finden sich in § 136 Abs. 1 und 2 der Verordnung zum Gesetz über die direkten Steuern (Steuerverordnung [StV; SG 640.110]) Bestimmungen zur unentgeltlichen Rechtspflege. Deren Regelung geht indessen nicht über die verfassungsrechtliche Minimalgarantie von Art. 29 Abs. 3 BV hinaus, so dass ohne weiteres auf die verfassungsrechtlichen Minimalansprüche abgestellt werden kann (vgl.Schwank, Das verwaltungsinterne Rekursverfahren des Kantons Basel-Stadt, in: Buser [Hrsg.], Neues Handbuch des Staats- und Verwaltungsrechts des Kantons Basel-Stadt, Basel 2008, S. 435 ff., 472 zu den identischen Bestimmungen von §§ 15 und 16 Abs. 1 der Verordnung zum Gesetz über die Verwaltungsgebühren [SG 153.810]).</w:t>
      </w:r>
    </w:p>
    <w:p>
      <w:r>
        <w:t>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Ob im Einzelfall genügende Erfolgsaussichten bestehen, beurteilt sich aufgrund einer vorläufigen und summarischen Prüfung der Prozessaussichten zur Zeit, zu der das Gesuch um unentgeltliche Rechtspflege gestellt wird (vgl. BGE 133 III 614 E. 5 S. 616 und 129 I 129 E. 2.3.1 S. 135 f., je m.w.H.).</w:t>
      </w:r>
    </w:p>
    <w:p>
      <w:r>
        <w:t>2.2Zur Begründung der Abweisung des Gesuchs um Gewährung der unentgeltlichen Rechtspflege hat die Vorinstanz darauf verwiesen, dass der Rekurrent zur Einreichung eines aktuellen, detaillierten Betreibungsregisterauszugs für die Prüfung der unentgeltlichen Prozessführung aufgefordert worden sei. Mangels Einreichung dieser Unterlagen werde das Gesuch abgelehnt.</w:t>
      </w:r>
    </w:p>
    <w:p>
      <w:r>
        <w:t>2.3Wer ein Gesuch um Bewilligung der unentgeltlichen Prozessführung stellt, hat sowohl seine prozessuale Bedürftigkeit wie auch die fehlende Aussichtslosigkeit seiner Rechtsbegehren unter Beweis zu stellen. Vorliegend hat die Steuerverwaltung das Erlassgesuch des Rekurrenten im vorinstanzlich angefochtenen Entscheid vom 11. Dezember 2014 mit der Begründung abgelehnt, ein Steuererlass sei nicht möglich, wenn Drittgläubiger gegenüber dem Staat als Gläubiger bevorzugt würden (E. II. 2a/aa). Dem entspricht auch die konstante Praxis des Verwaltungsgerichts. Gemäss § 146 Abs. 3 der Verordnung zum StG in der bis 31. Dezember 2013 geltenden Fassung (alte Steuerverordnung, aStV; SG 640.110) sowie nunmehr gemäss § 201a Abs. 1 lit. e des StG (vgl. VGE VD.2013.205 vom 26. Mai 2014 E. 2.2) kann von einem vollständigen oder teilweisen Erlass unter anderem dann abgesehen werden, wenn die steuerpflichtige Person verschuldet ist und ein Erlass vorab ihren Gläubigern zu Gute kommen würde. Eine ähnliche Rechtslage besteht bei der direkten Bundessteuer. Nach der Zweckbestimmung von Art. 1 Abs. 1 der Steuererlassverordnung (SR 642.121) soll der Steuererlass explizit zu einer langfristigen und dauernden Sanierung der wirtschaftlichen Lage der steuerpflichtigen Person beitragen. Er hat dabei bestimmungsgemäss der steuerpflichtigen Person selbst und nicht ihren Gläubigern zugute zu kommen. Aus Art. 10 der Steuererlassverordnung geht entsprechend hervor, dass bei einer Überschuldung infolge geschäftlicher Misserfolge, Bürgschaftsverpflichtungen, hoher Grundpfandschulden, Kleinkreditschulden aufgrund überhöhten Lebensstandards etc. ein Steuererlass nur dann in Frage kommt, wenn neben dem Gemeinwesen auch die übrigen Gläubiger im selben prozentualen Umfang auf ihre Forderungen verzichten (vgl. BVGE A-3663/2007 vom 11. Juni 2009 E. 2.6.3 und A-1087/2010 vom 4. Oktober 2010 E. 2.4.1.2; VGE VD.2014.62 vom 10. Februar 2015 E. 2.3.1).</w:t>
      </w:r>
    </w:p>
    <w:p>
      <w:r>
        <w:t>Daraus folgt, dass zur Beurteilung der Gewinnaussichten die Einreichung eines aktuellen Betreibungsregisterauszugs, wie ihn die Vorinstanz vom Rekurrenten verlangt hat, unerlässlich ist. Dies umso mehr, als für die Beurteilung der Gewinnaussichten und des Anspruchs auf unentgeltliche Prozessführung der Zeitpunkt der Gesuchseinreichung massgebend ist (Meichssner, Das Grundrecht auf unentgeltliche Rechtspflege [Art. 29 Abs. 3 BV], Diss., Basel 2008, 108 f.). Daraus folgt, dass der Rekurrent seiner prozessualen Mitwirkungspflicht nicht nachgekommen ist. Der unterbliebene Beweis der fehlenden Aussichtslosigkeit musste zur Abweisung des Gesuchs um Bewilligung der unentgeltlichen Prozessführung führen.</w:t>
      </w:r>
    </w:p>
    <w:p>
      <w:r>
        <w:t>2.4Vor diesem Hintergrund gehen die Ausführungen des Rekurrenten in seinem Rekurs an der Sache vorbei, bezieht er sich doch allein auf seine finanziellen Verhältnisse als Empfänger von Sozialhilfeleistungen. Voraussetzung für die Bewilligung der unentgeltlichen Rechtspflege ist aber neben dem Fehlen der erforderlichen Mittel für die Prozessführung  wie dargelegt  auch die fehlende Aussichtslosigkeit der Begehren.</w:t>
      </w:r>
    </w:p>
    <w:p>
      <w:r>
        <w:rPr>
          <w:b/>
        </w:rPr>
        <w:t>E. 3</w:t>
      </w:r>
    </w:p>
    <w:p>
      <w:r>
        <w:t>Aus dem Gesagten folgt, dass der Rekurs abzuweisen ist. Die Vorinstanz wird dem Rekurrenten eine neue Frist zur Leistung des verfügten Kostenvorschusses zu setzen haben. Praxisgemäss werden im Rekursverfahren gegen die Verweigerung der unentgeltlichen Prozessführung infolge Aussichtslosigkeit des Rechtsmittels keine Prozesskosten erhoben, soweit nicht der Rekurs gegen diese Verweigerung selber als aussichtslos erscheint. Dies kann hier auch umständehalber verneint werden, zumal aus der angefochtenen Verfügung wie auch den Schreiben vom 22. und 29. Januar 2015 nicht klar hervorgeht, in welchem Zusammenhang der verlangte Betreibungsregisterauszug erforderlich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