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VD.2015.30 vom 5. Februar 2015</w:t>
      </w:r>
    </w:p>
    <w:p>
      <w:r>
        <w:t>BS Appellationsgericht, 2015-02-05, DE</w:t>
      </w:r>
    </w:p>
    <w:p>
      <w:r>
        <w:rPr>
          <w:b/>
        </w:rPr>
        <w:t xml:space="preserve">Quelle: </w:t>
      </w:r>
      <w:r>
        <w:t>https://mcp.opencaselaw.ch/entscheid/bs_appellationsgericht_VD.2015.30</w:t>
      </w:r>
    </w:p>
    <w:p>
      <w:r>
        <w:t>FR: BS_APPELLATIONSGERICHT VD.2015.30 du 5 février 2015</w:t>
      </w:r>
    </w:p>
    <w:p>
      <w:r>
        <w:t>IT: BS_APPELLATIONSGERICHT VD.2015.30 del 5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1.1Gegen Entscheide der Kinder- und Erwachsenenschutzbehörde kann gemäss Art. 450 Abs. 1 ZGB sowie § 17 Abs. 1 des Kindes- und Erwachsenenschutzgesetzes (KESG; SG 212.400) Beschwerde an das Verwaltungsgericht geführt werden.</w:t>
      </w:r>
    </w:p>
    <w:p>
      <w:r>
        <w:t>1.2Nach § 13 VRPG ist zum Rekurs bzw. zur Beschwerde berechtigt, wer durch die angefochtene Verfügung berührt ist und ein schutzwürdiges Interesse an ihrer Aufhebung oder Änderung hat. Die Beschwerdeführerin 1 ist als Tochter der von der Verbeiständung betroffenen Beschwerdeführerin 2 sowie durch die Tatsache, dass sie von dieser finanziell unterstützt wurde, vom Entscheid der KESB persönlich betroffen. Als von der Verbeiständung betroffene Person ist die Beschwerdeführerin 2 gemäss Art. 450 Abs. 2 Ziff. 1 ZGB zur Beschwerde legitimiert.</w:t>
      </w:r>
    </w:p>
    <w:p>
      <w:r>
        <w:rPr>
          <w:b/>
        </w:rPr>
        <w:t>E. 2</w:t>
      </w:r>
    </w:p>
    <w:p>
      <w:r>
        <w:t>2.1Gemäss Art. 399 Abs. 1 ZGB endet die Beistandschaft mit dem Tod der betroffenen Person. In casu ist die Beschwerdeführerin 2 verstorben, während das Verfahren vor Verwaltungsgericht hängig war. Ein Entscheid in der Sache ist nicht mehr möglich, da das Anfechtungsobjekt, nämlich die im KESB-Entscheid vom 29. Januar bzw. 27. Februar 2015 verfügte Beistandschaft für die Beschwerdeführerin 2 sowie der als vorsorgliche Massnahme verfügte Entzug der Zugriffsrechte auf die Konten, von Gesetzes wegen weggefallen ist.</w:t>
      </w:r>
    </w:p>
    <w:p>
      <w:r>
        <w:t>2.2Aus den vorstehenden Erwägungen ergibt sich, dass das Verfahren infolge Gegenstandslosigkeit abzuschreiben ist (vgl. BGer 2C_140/2012 vom 2. August 2012 E. 3.1 und 3.3).</w:t>
      </w:r>
    </w:p>
    <w:p>
      <w:r>
        <w:rPr>
          <w:b/>
        </w:rPr>
        <w:t>E. 3</w:t>
      </w:r>
    </w:p>
    <w:p>
      <w:r>
        <w:t>Auf die Erhebung von Kosten wird umständehalber verzichtet.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