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VD.2015.262 vom 8. April 2016</w:t>
      </w:r>
    </w:p>
    <w:p>
      <w:r>
        <w:t>BS Appellationsgericht, 2016-04-08, DE</w:t>
      </w:r>
    </w:p>
    <w:p>
      <w:r>
        <w:rPr>
          <w:b/>
        </w:rPr>
        <w:t xml:space="preserve">Quelle: </w:t>
      </w:r>
      <w:r>
        <w:t>https://mcp.opencaselaw.ch/entscheid/bs_appellationsgericht_VD.2015.262</w:t>
      </w:r>
    </w:p>
    <w:p>
      <w:r>
        <w:t>FR: BS_APPELLATIONSGERICHT VD.2015.262 du 8 avril 2016</w:t>
      </w:r>
    </w:p>
    <w:p>
      <w:r>
        <w:t>IT: BS_APPELLATIONSGERICHT VD.2015.262 del 8 aprile 2016</w:t>
      </w:r>
    </w:p>
    <w:p>
      <w:pPr>
        <w:pStyle w:val="Heading2"/>
      </w:pPr>
      <w:r>
        <w:t>Erwägungen</w:t>
      </w:r>
    </w:p>
    <w:p>
      <w:r>
        <w:rPr>
          <w:b/>
        </w:rPr>
        <w:t>E. 1</w:t>
      </w:r>
    </w:p>
    <w:p>
      <w:r>
        <w:t>1.1Das Präsidialdepartement hat den Rekurs mit Schreiben vom 15. Dezember 2015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bzw. von dem ihr zustehenden Ermessen unzulässigen Gebrauch gemacht hat.</w:t>
      </w:r>
    </w:p>
    <w:p>
      <w:r>
        <w:rPr>
          <w:b/>
        </w:rPr>
        <w:t>E. 2</w:t>
      </w:r>
    </w:p>
    <w:p>
      <w:r>
        <w:t>2.1Zu prüfen ist die Frage, ob der am 1. Oktober 2015 erhobene und mit Eingabe vom 27. Oktober 2015 begründete Rekurs entgegen der Ansicht des WSU doch rechtzeitig erfolgt ist, wie der Rekurrent geltend macht. Das WSU hat in seinem Entscheid vom 9. November 2015 erwogen, dass die angefochtene Verfügung dem Rekurrenten am 26. September 2015 zugestellt worden sei, womit die 30-tägige Frist zur Einreichung der Rekursbegründung am 26. Oktober 2015 geendet habe. Demgegenüber führt der Rekurrent aus, dass sein Vertreter das Schreiben erst am 28. September 2015 in Empfang genommen habe und somit die von diesem am 27. Oktober 2015 persönlich eingereichte Rekursbegründung rechtzeitig erfolgt sei. Der Rekurrent beanstandet das Vorgehen des AWA, indem das Schreiben mit A-Post Plus anstatt eingeschrieben, wie nach Ansicht des Rekurrenten üblich, versendet worden ist.</w:t>
      </w:r>
    </w:p>
    <w:p>
      <w:r>
        <w:t>2.2Das öffentliche Prozessrecht kennt keine Verpflichtung der Behörden zur Zustellung von Verfügungen gegen einen von der empfangenden Person unterzeichneten Zustellungsnachweis. Dies gilt sowohl für das kantonale Recht (vgl. OG und VRPG) wie auch für das Bundesrecht. Allerdings trägt die eröffnende Behörde die Beweislast für eine Zustellung und deren Zeitpunkt (vgl. BGer 8C_679/2012 vom 12. Dezember 2012 mit Hinweis auf BGE 136 V 295 E. 5.9 S. 309 f.). Versendet sie anfechtbare Verfügungen mittels gewöhnlicher Post, so setzt sie sich der Gefahr aus, diesen Beweis nicht erbringen zu können. Bei der Zustellung mittels A-Post Plus werden Sendungen zwar auch in nicht eingeschriebener Form befördert. Die Zustellung erfolgt direkt in den Briefkasten oder ins Postfach des Adressaten, ohne dass dieser den Empfang unterschriftlich bestätigen müsste. Dem entspricht, dass der Adressat im Falle seiner Abwesenheit nicht durch Hinterlegung einer Abholungseinladung avisiert wird. Dies hat nach der bundesgerichtlichen Rechtsprechung zur Folge, dass die Rekursfristen bereits am Tag nach der ordnungsgemässen Zustellung und nicht erst am Tag nach der tatsächlichen Kenntnisnahme durch den Adressaten zu laufen beginnen. Im Unterschied zur herkömmlichen Post werden A-Post Plus-Sendungen jedoch mit einer Nummer versehen, was die elektronische Sendungsverfolgung im Internet (Track &amp; Trace) von der Postaufgabe bis zur Zustellung ermöglicht.</w:t>
      </w:r>
    </w:p>
    <w:p>
      <w:r>
        <w:t>Wie das Bundesgericht festgestellt hat, kann eine empfangende Person, die sich über das genaue Zustellungsdatum im Unklaren ist, dieses anhand der unterhalb des Strichcodes aufgedruckten Suchnummer im Internet auf der Webseite der Post mit Hilfe des elektronischen Suchsystems ermitteln oder  mangels eines Internetanschlusses  das Zustellungsdatum bei der Post oder der eröffnenden Behörde in Erfahrung bringen (BGer 2C_570/2011 vom 24. Januar 2012 E. 4.3; VGE VD.2013.76 vom 4. Dezember 2013 E. 3.5). Solches Nachforschen ist dem Adressaten einer Verfügung aus Gründen des Vertrauensschutzes und der Rechtssicherheit zuzumuten (BGer 2C_570/2011 vom 24. Januar 2012 E. 4.3). Auch das Verwaltungsgericht hat sich bereits ausführlich mit der Zulässigkeit und den Wirkungen einer Zustellung per A-Post Plus auseinandergesetzt und die oben dargelegten Grundsätze bestätigt (vgl. VGE VD.2014.64 vom 9. Januar 2015 und VD.2014.74 vom 2. Oktober 2014).</w:t>
      </w:r>
    </w:p>
    <w:p>
      <w:r>
        <w:t>Die per A-Post Plus versandte Verfügung wurde dem Rekurrenten gemäss Zustellinformation der Post am 26. September 2015 via Postfach zugestellt (Beilage zu den Vorakten, Aktenbeilage 4). Dass der Vertreter des Rekurrenten die Sendung nach eigenen Angaben erst am 28. September 2015 seinem Postfach entnommen hat, kann ihm nach dem Gesagten in Bezug auf den Fristenlauf nicht helfen (Begründung des Rekurses ans Verwaltungsgericht vom 6. Dezember 2015, Aktenbeilage 3). Bei Eingang der Rekursbegründung am 27. Oktober 2015 war die 30-tägige Frist zur Einreichung der Begründung schon abgelaufen, weshalb die Vorinstanz zu Recht nicht auf den Rekurs eingetreten ist.</w:t>
      </w:r>
    </w:p>
    <w:p>
      <w:r>
        <w:rPr>
          <w:b/>
        </w:rPr>
        <w:t>E. 3</w:t>
      </w:r>
    </w:p>
    <w:p>
      <w:r>
        <w:t>3.1Weiter zu prüfen ist, ob der Rekurrent resp. dessen Vertreter durch ein unverschuldetes Hindernis an der Einhaltung der Frist abgehalten worden ist und somit eine Wiedereinsetzung in den vorigen Stand erfolgen muss.</w:t>
      </w:r>
    </w:p>
    <w:p>
      <w:r>
        <w:t>Das auf das vorinstanzliche Verfahren anwendbare OG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(vgl. VGE VD.2013.191 vom 14. April 2014 E. 2.3.1, VD.2011.135 vom 22. März 2012 E. 2.2.1, mit Hinweisen). Für das verwaltungsinterne Verfahren wird praxisgemäss eine analoge Anwendung der Regelung von § 147 Abs. 5 des Steuergesetzes (StG, SG 640.100) als adäquat erachtet (vgl. VGE VD.2013.191 vom 14. April 2014 E. 2.3.1, VD.2011.75 vom 4. Juli 2011 E. 3.2, VD.2010.167 vom 20. September 2010 E. 2.3.1; SCHWANK, 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ihre Vertretung unverschuldet davon abgehalten worden ist, innert Frist zu handeln (BGer 1C_491/2008 vom 10. März 2009 E. 1.2; 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(VOGEL, in: Auer/Müller/Schindler [Hrsg.], Kommentar zum Bundesgesetz über das Verwaltungsverfahren, Zürich 2008, Art. 24 N 10 mit Hinweisen). Ein Krankheitszustand bildet dann einen Wiedereinsetzungsgrund, wenn und solange er jegliches auf die Fristwahrung gerichtete Handeln verunmöglicht (BGE 119 II 86 E. 2a S. 87; BGer 6S.54/2006 vom 2. November 2006 E. 2.2.1; VGE VD.2011.135 vom 22. März 2012 E. 2.2.2, VD.2013.34 vom 21. Oktober 2013 E. 2.2; RHINOW/KOLLER/KISS/THURNHERR/BRÜHL-MOSER, Öffentliches Prozessrecht, 3. Auflage, Basel 2014, N 1833).</w:t>
      </w:r>
    </w:p>
    <w:p>
      <w:r>
        <w:t>3.2Mit seinem Rekurs gegen den Entscheid des WSU vom 9. November 2015 ans Verwaltungsgericht erläutert der Rekurrent zur Frage der Schuldlosigkeit im Zusammenhang mit der Versäumung der Frist zur Einreichung der Rekursbegründung im vorinstanzlichen Verfahren, dass sich sein Vertreter an Samstagen sowie Sonntagen jeweils in Deutschland aufhalte und nicht an zwei Orten gleichzeitig sein könne. Dieser Umstand resultiere daraus, dass [].</w:t>
      </w:r>
    </w:p>
    <w:p>
      <w:r>
        <w:t>Gemäss den Ausführungen unter E. 3.1 vermag eine kurzzeitige Auslandabwesenheit im Zeitpunkt der Zustellung einer Verfügung die Verhinderung an der Einhaltung der Frist nicht im Sinne eines unverschuldeten Versäumnisses zu entschuldigen. Dem Rekurrenten resp. dessen Vertreter wäre es nach Rückkehr aus dem Wochenende an den Werktagen der 30-tägigen Frist ohne weiteres möglich gewesen, seiner Begründungsobliegenheit nachzukommen. Es liegt daher keine Verhinderung an der Einhaltung der Frist aus objektiven Gründen vor. Nach dem Gesagten erfolgt keine Wiedereinsetzung in den vorigen Stand.</w:t>
      </w:r>
    </w:p>
    <w:p>
      <w:r>
        <w:t>4.Gemäss den Ausführungen ist der Rekurs abzuweisen. Bei diesem Ausgang des Verfahrens trägt der Rekurrent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