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VD.2015.168 vom 22. Juni 2016</w:t>
      </w:r>
    </w:p>
    <w:p>
      <w:r>
        <w:t>BS Appellationsgericht, 2016-06-22, DE</w:t>
      </w:r>
    </w:p>
    <w:p>
      <w:r>
        <w:rPr>
          <w:b/>
        </w:rPr>
        <w:t xml:space="preserve">Quelle: </w:t>
      </w:r>
      <w:r>
        <w:t>https://mcp.opencaselaw.ch/entscheid/bs_appellationsgericht_VD.2015.168</w:t>
      </w:r>
    </w:p>
    <w:p>
      <w:r>
        <w:t>FR: BS_APPELLATIONSGERICHT VD.2015.168 du 22 juin 2016</w:t>
      </w:r>
    </w:p>
    <w:p>
      <w:r>
        <w:t>IT: BS_APPELLATIONSGERICHT VD.2015.168 del 22 giugno 2016</w:t>
      </w:r>
    </w:p>
    <w:p>
      <w:pPr>
        <w:pStyle w:val="Heading2"/>
      </w:pPr>
      <w:r>
        <w:t>Erwägungen</w:t>
      </w:r>
    </w:p>
    <w:p>
      <w:r>
        <w:rPr>
          <w:b/>
        </w:rPr>
        <w:t>E. 1</w:t>
      </w:r>
    </w:p>
    <w:p>
      <w:r>
        <w:t>Mit dem Rückzug eines Rechtsmittels entfällt der Streitgegenstand und wird der Rekurs gegenstandslos. Es ist nur noch über die Verlegung der Kosten zu entscheiden. Der Kostenentscheid in einem dahingefallenen Verfahren ist von dem Gericht zu fällen, das in der Sache zu entscheiden gehabt hätte, mithin in vorliegendem Fall von der Kammer des Verwaltungsgerichts. Gemäss ständiger Praxis wird der Rückzug einer Klage oder eines Rechtsmittels, ungeachtet der dafür angeführten Gründe, gleich behandelt wie das Unterliegen im Prozess. Er zieht daher in der Regel die Kostentragungspflicht nach sich. Von der Kostenauflage nach dem Ausgang des Verfahrens kann abgewichen werden, wenn dafür zwingende Gründe bestehen, welche vor allem im Verhalten der Parteien liegen können (VGE 699/2008 vom 4. August 2009 E. 1 mit Hinweisen;Stamm, Die Verwaltungsgerichtsbarkeit, in: Buser [Hrsg.], Neues Handbuch des Staats- und Verwaltungsrechts des Kantons Basel-Stadt, Basel 2008, S. 477 ff., 514.).</w:t>
      </w:r>
    </w:p>
    <w:p>
      <w:r>
        <w:rPr>
          <w:b/>
        </w:rPr>
        <w:t>E. 2</w:t>
      </w:r>
    </w:p>
    <w:p>
      <w:r>
        <w:t>Die Rekurrentinnen bestreiten nicht, dass bei einem Rückzug des Rekurses die Kosten grundsätzlich dem Unterliegerprinzip folgend ihnen aufzuerlegen sind. Sie machen indessen geltend, dass aufgrund der Offenheit des regierungsrätlichen Nutzungskonzepts nicht klar gewesen sei, wie weit dessen Tragweite sein werde und wie dieses angewendet werde, weshalb sie gezwungen gewesen seien, dagegen Rekurs zu erheben (Eingabe vom 22. Januar 2016). Die Abteilung Kultur des Präsidialdepartements habe nach Erlass des neuen Nutzungskonzepts anlässlich entsprechender Diskussionen keine Kompromissbereitschaft gezeigt. Es sei allein der pragmatischen Umsetzung der Allmendverwaltung  die Rekurrentinnen verweisen dabei auf eine Aktennotiz zur einer Sitzung vom 9. Dezember 2015 beim Tiefbauamt  zu verdanken, dass der Regierungsratsbeschluss in der von ihnen gewünschten Weise ausgelegt und konkretisiert werden könne (Eingabe vom 17. Dezember 2015). Entsprechend verlangen sie die Tragung der ordentlichen Kosten durch den Regierungsrat.</w:t>
      </w:r>
    </w:p>
    <w:p>
      <w:r>
        <w:t>Abgesehen davon, dass eine Auferlegung der ordentlichen Kosten an die Vorinstanz grundsätzlich nicht möglich ist (vgl. § 30 Abs. 1 des Verwaltungsrechtspflegegesetzes [VRPG; SG 270.100]), kann auch aus sachlichen Gründen nicht von einer Auferlegung der Verfahrenskosten an die Rekurrentinnen abgesehen werden. Denn entgegen ihren Vorbringen bestand keine zwingende Notwendigkeit zur Rekurserhebung. Wie das Präsidialdepartement in seiner Rekursantwort ausgeführt hat, betreiben die beiden Rekurrentinnen die Kleinplakatierung an verschiedenen Standorten in der Stadt Basel (IWB Verteilkästen, BVB Weichenkästen und Spritzschutzwänden sowie Kleinplakatsäulen) auf der Basis von Rahmenbewilligungen. Die zuletzt von der Allmendverwaltung an die Rekurrentinnen erteilten Rahmenbewilligungen datieren vom 23. März 2015. Sie waren bis zum 31. Dezember 2015 befristet (Rekursantwort, Rz 1). Es ist dem Präsidialdepartement unter diesen Umständen beizupflichten, wenn es in seiner Stellungnahme zum Kostenantrag der Rekurrentinnen ausführt, dass mit dem Auslaufen der bis zum 31. Dezember 2015 gültigen Rahmenbedingungen die sich aufgrund des neuen Nutzungskonzeptes für sie ergebenden Änderungen ohnehin neu zu verfügen waren (Eingabe vom 11. Februar 2016). Es wäre den Rekurrentinnen daher sowohl möglich als auch zumutbar gewesen, diese neuen Verfügungen und damit die konkreten Rahmenbedingungen für die Kleinplakatierung auf öffentlichem Grund und Boden abzuwarten, bevor sie den Rechtsweg beschreiten. Eine Anfechtung des Regierungsratsbeschlusses vom 7. Juli 2015 selbst war somit entgegen den Vorbringen der beiden Rekurrentinnen keineswegs zwingend, zumal, wie ihr Treffen mit Vertretern des Tiefbauamts bzw. der Allmendverwaltung vom 9. Dezember 2015 gezeigt hat, das Nutzungskonzept den Bewilligungsbehörden Spielraum bei dessen Umsetzung gelassen hat. Dieser Spielraum ist denn auch zu Gunsten der Rekurrentinnen ausgenutzt worden, wie sich aus den entsprechenden Zusagen anlässlich dieses Treffens ergibt, wenn sie ihren Rekurs zurückziehen würden (Aktennotiz vom 9. Dezember 2015 Kleinplakatunternehmen Entwurf Bewilligungen [Beilage zur Eingabe der Rekurrentinnen vom 17. Dezember 2015]). Im Übrigen ist darauf hinzuweisen, dass das Präsidialdepartement mit seiner Rekursantwort eingehend bestritten hat, dass mit dem Regierungsratsbeschluss vom 7. Juli 2015 ein taugliches Anfechtungsobjekt vorliegen würde. Entsprechend hat es auch Nichteintreten auf den Rekurs beantragt (Rekursantwort, Rz 6 ff.). Hierzu haben sich die Rekurrentinnen gar nicht mehr vernehmen lassen. Es erscheint daher mehr als fraglich, ob es mangels eines tauglichen Anfechtungsobjekts überhaupt möglich war, gegen den Regierungsratsbschluss vom 7. Juli 2015 Rekurs zu erheben. Zusammenfassend ist festzustellen, dass es unter den vorliegenden Gegebenheiten weder zwingend noch aussichtsreich war, das Nutzungskonzept anzufechten. Es besteht daher kein Anlass, von einer Kostenauflage an die Rekurrentinnen abzusehen, nachdem sie den Rückzug ihres Rekurses erklärt haben.</w:t>
      </w:r>
    </w:p>
    <w:p>
      <w:r>
        <w:rPr>
          <w:b/>
        </w:rPr>
        <w:t>E. 3</w:t>
      </w:r>
    </w:p>
    <w:p>
      <w:r>
        <w:t>Bei diesem Ausgang des Verfahrens tragen die Rekurrentinnen dessen Kosten in der Höhe von CHF 1'000.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