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VD.2014.265 vom 15. April 2016</w:t>
      </w:r>
    </w:p>
    <w:p>
      <w:r>
        <w:t>BS Appellationsgericht, 2016-04-15, DE</w:t>
      </w:r>
    </w:p>
    <w:p>
      <w:r>
        <w:rPr>
          <w:b/>
        </w:rPr>
        <w:t xml:space="preserve">Quelle: </w:t>
      </w:r>
      <w:r>
        <w:t>https://mcp.opencaselaw.ch/entscheid/bs_appellationsgericht_VD.2014.265</w:t>
      </w:r>
    </w:p>
    <w:p>
      <w:r>
        <w:t>FR: BS_APPELLATIONSGERICHT VD.2014.265 du 15 avril 2016</w:t>
      </w:r>
    </w:p>
    <w:p>
      <w:r>
        <w:t>IT: BS_APPELLATIONSGERICHT VD.2014.265 del 15 aprile 2016</w:t>
      </w:r>
    </w:p>
    <w:p>
      <w:pPr>
        <w:pStyle w:val="Heading2"/>
      </w:pPr>
      <w:r>
        <w:t>Erwägungen</w:t>
      </w:r>
    </w:p>
    <w:p>
      <w:r>
        <w:rPr>
          <w:b/>
        </w:rPr>
        <w:t>E. 1</w:t>
      </w:r>
    </w:p>
    <w:p>
      <w:r>
        <w:t>1.1Gegen Entscheide der Steuerrekurskommission bezüglich der kantonalen Steuern kann gestützt auf § 171 Abs. 1 des Steuergesetzes (StG, SG 640.100) und § 10 Abs. 1 des Verwaltungsrechtspflegegesetzes (VRPG, SG 270.100) Rekurs an das Verwaltungsgericht erhoben werden. Dieses ist folglich zur Beurteilung des vorliegenden Rekurses zuständig. Das Verfahren richtet sich nach den Bestimmungen des VRPG, soweit das Steuergesetz keine spezielle Vorschrift enthält (§ 171 Abs. 4 StG). Bezüglich der Bundessteuer kann das kantonale Recht gemäss Art. 145 Abs. 1 des Bundesgesetzes über die direkte Bundessteuer (DBG, SR 642.11) den Weiterzug des Beschwerdeentscheids mittels Beschwerde an eine weitere verwaltungsunabhängige Instanz vorsehen. Sieht das kantonale Recht ein zweistufiges Rekursverfahren für die harmonisierten kantonalen Steuern vor, muss dasselbe Verfahren auch für die Bundessteuer gelten (BGE 130 II 65 E. 6 S. 75 ff.). Da das baselstädtische Recht für die kantonalen Steuern ein zweistufiges Rekursverfahren vorsieht, kommt dieses auch für die Bundessteuer zur Anwendung (vgl.Wullschleger/Schröder, Praktische Fragen des Verwaltungsprozesses im Kanton Basel-Stadt, in: BJM 2005, S. 277, 287). Zuständig zur Beurteilung der Beschwerde ist ebenfalls das Verwaltungsgericht (VGE 608/2006 vom 22. Juni 2006 E. 1.2, in: BJM 2008, S. 220, 221 f.). Im Beschwerdeverfahren gelten in erster Linie die Verfahrensbestimmungen gemäss Art. 140144 DBG und subsidiär jene des kantonalen Rechts über Organisation und Verfahren, insbesondere jene über den Rekurs (Art. 145 Abs. 2 DBG, § 1 der Verordnung über den Vollzug der direkten Bundessteuer [DBStV, SG 660.100]).</w:t>
      </w:r>
    </w:p>
    <w:p>
      <w:r>
        <w:t>1.2B____ unterlag in den Verfahren vor der Steuerrekurskommission. Sie war daher durch die angefochtenen Entscheide berührt und hatte ein schutzwürdiges Interesse an deren Aufhebung oder Änderung. Somit war sie zum Rekurs und zur Beschwerde berechtigt (§ 13 Abs. 1 VRPG). A____ trat mit dem Tod von B____ als deren Alleinerbin in deren prozessuale Stellung ein (vgl. BGE 75 II 190 E. 1 S. 192; AGE VD.2010.244 vom 5. Juli 2012). Der Rekurs und die Beschwerde wurden rechtzeitig eingereicht und begründet (§ 171 Abs. 2 in Verbindung mit § 164 Abs. 2 StG; Art. 145 Abs. 2 in Verbindung mit Art. 140 Abs. 1 und 2 DBG). Auf sie ist demzufolge einzutreten.</w:t>
      </w:r>
    </w:p>
    <w:p>
      <w:r>
        <w:t>1.3In Bezug auf den Rekurs richtet sich die Kognition des Verwaltungsgerichts nach der allgemeinen Bestimmung von § 8 VRPG, da das Steuergesetz diesbezüglich keine spezielle Vorschrift enthält.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Bundessteuer können mit der Beschwerde alle Mängel des angefochtenen Entscheids und des vorangegangenen Verfahrens gerügt werden (Art. 145 Abs. 2 in Verbindung mit Art. 140 Abs.</w:t>
      </w:r>
    </w:p>
    <w:p>
      <w:r>
        <w:rPr>
          <w:b/>
        </w:rPr>
        <w:t>E. 3</w:t>
      </w:r>
    </w:p>
    <w:p>
      <w:r>
        <w:t>Aus den vorstehenden Erwägungen folgt, dass der Rekurs und die Beschwerde sich als unbegründet erweisen und daher abzuweisen sind. Bei diesem Ausgang der Verfahren wird die Rekurrentin kostenpflichtig (§ 30 Abs. 1 VRPG). Den Umständen des Falls und dem verursachten Aufwand angemessen erscheint die Erhebung einer Gebühr für das Rekurs- und das Beschwerdeverfahren von insgesamt CHF 3'000.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