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VD.2014.248 vom 7. Juni 2016</w:t>
      </w:r>
    </w:p>
    <w:p>
      <w:r>
        <w:t>BS Appellationsgericht, 2016-06-07, DE</w:t>
      </w:r>
    </w:p>
    <w:p>
      <w:r>
        <w:rPr>
          <w:b/>
        </w:rPr>
        <w:t xml:space="preserve">Quelle: </w:t>
      </w:r>
      <w:r>
        <w:t>https://mcp.opencaselaw.ch/entscheid/bs_appellationsgericht_VD.2014.248</w:t>
      </w:r>
    </w:p>
    <w:p>
      <w:r>
        <w:t>FR: BS_APPELLATIONSGERICHT VD.2014.248 du 7 juin 2016</w:t>
      </w:r>
    </w:p>
    <w:p>
      <w:r>
        <w:t>IT: BS_APPELLATIONSGERICHT VD.2014.248 del 7 giugno 2016</w:t>
      </w:r>
    </w:p>
    <w:p>
      <w:pPr>
        <w:pStyle w:val="Heading2"/>
      </w:pPr>
      <w:r>
        <w:t>Erwägungen</w:t>
      </w:r>
    </w:p>
    <w:p>
      <w:r>
        <w:rPr>
          <w:b/>
        </w:rPr>
        <w:t>E. 1</w:t>
      </w:r>
    </w:p>
    <w:p>
      <w:r>
        <w:t>1.1Die Zuständigkeit des Verwaltungsgerichts zur Beurteilung des vorliegenden Rekurses ergibt sich aus dem Überweisungsbeschluss des Präsidialdepartements vom 16. Oktober 2014, gestützt auf § 42 des Gesetzes betreffend die Organisation des Regierungsrates und der Verwaltung des Kantons Basel-Stadt (OG; SG 153.100) und § 12 des baselstädtischen Gesetzes über die Verfassungs- und Verwaltungsrechtspflege (VRPG; SG 270.100).</w:t>
      </w:r>
    </w:p>
    <w:p>
      <w:r>
        <w:rPr>
          <w:b/>
        </w:rPr>
        <w:t>E. 1.2</w:t>
      </w:r>
    </w:p>
    <w:p>
      <w:r>
        <w:t>1.2.1Gemäss § 13 Abs. 1 VRPG ist zum Rekurs berechtigt, wer durch die angefochtene Verfügung berührt ist und ein schutzwürdiges Interesse an deren Aufhebung oder Änderung hat. Um schutzwürdig zu sein, muss das Interesse im Zeitpunkt der Entscheidung über das Rechtsmittel aktuell sein (Rhinow/Koller/Kiss/Thurn-herr/Brühl-Moser, Öffentliches Prozessrecht, 3. Auflage, Basel 2014, N 1931). Damit soll sichergestellt werden,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447; vgl. BGE 131 I 153 E. 1.2, in Pra 95 (2006) Nr. 27 S. 190, 192). Fällt das aktuelle Rechtsschutzinteresse weg, so führt dies zu einem Nichteintretensentscheid (Stamm, Die Verwaltungsgerichtsbarkeit, in: Buser [Hrsg.], Neues Handbuch des Staats- und Verwaltungsrechts des Kantons Basel-Stadt, Basel 2008, S. 477, 500, ebensoWullschleger/Schröder, Praktische Fragen des Verwaltungsprozesses im Kanton Basel-Stadt, BJM 2005, S. 277, 292; vgl. auch VGE VD.2011.201 vom 11. September 2012).</w:t>
      </w:r>
    </w:p>
    <w:p>
      <w:r>
        <w:t>1.2.2Vorliegend ist das dem Rekurrenten auferlegte Rayonverbot während des verwaltungsgerichtlichen Rekursverfahrens am 21. Januar 2015 ausgelaufen. Soweit der Rekurrent daher dessen Aufhebung sowie eventualiter dessen Begrenzung verlangt, ist das Bestehen eines aktuellen Rechtschutzinteresses fraglich.</w:t>
      </w:r>
    </w:p>
    <w:p>
      <w:r>
        <w:t>Indem der Rekurrent sich mit seiner neuen Eingabe vom 25. April 2016 namentlich auf die zeitliche Ausdehnung des angefochtenen Rayonverbotes bezieht, kann darauf jedenfalls nicht eingetreten werden. Die zeitliche Dauer der jeweiligen Verbote hat nach erfolgtem Ablauf des Rayonverbots keine aktuelle praktische Bedeutung mehr für den Rekurrenten. Sie hat keinen Einfluss auf die Eintragung des Rekurrenten im elektronischen Informationssystem HOOGAN des Bundes, welche allein sein fortbestehendes aktuelles Rechtsschutzinteresse begründet. Auch einen Einfluss auf das Stadionverbot der FC Basel 1893 AG hat die zeitliche Dauer nicht, zumal dieses mittlerweile ebenfalls abgelaufen ist (vgl. BGer 1C_512/2015 vom 16. März 2016 E. 1.3.1). Da die Frage der zulässigen zeitlichen Dauer von Rayonverboten an den einzelnen Spieltagen im Unterschied zu jener der räumlichen Ausdehnung vom Verwaltungsgericht bisher noch nicht entschieden worden ist, besteht kein Anlass daran, diese Frage als obiter dictum in einem Fall zu entscheiden, bei dem gar kein aktuelles Rechtsschutzinteresse an der Entscheidung dieser Frage mehr besteht. Dies gilt umso mehr, als diese Frage sehr wohl in einem verwaltungsgerichtlichen Rekursverfahren entschieden werden kann, sodass es sich nicht um eine Frage von grundsätzlicher Bedeutung handelt, die sonst nie beurteilt werden könnte.</w:t>
      </w:r>
    </w:p>
    <w:p>
      <w:r>
        <w:t>Der Rekurrent begründet sein  seiner Meinung nach  weiterhin aktuelles Rechtschutzinteresse an der Aufhebung der angefochtenen Verfügung aber auch damit, dass auch nach Ablauf des Rayonverbotes der Eintrag in das vom Fedpol geführte elektronische Informationssystem HOOGAN des Bundes erhalten bleibe. Dieser Hinweis trifft zu (vgl. Art. 24a des Bundesgesetzes über Massnahmen zur Wahrung der inneren Sicherheit [BWIS]). Es ist plausibel, dass dem Rekurrenten durch diese Eintragung Nachteile entstehen könnten. Daraus resultiert insofern ein weiterhin bestehendes aktuelles Rechtsschutzinteresse (BGer 1C_88/2011 vom 15. Juni 2011 E. 1). Der Betroffene muss die Möglichkeit haben, die Aufhebung des Rayonverbots zu verlangen, wenn der Verdacht gewalttätigen Verhaltens sich nachträglich als ungerechtfertigt erweist (BGer 1C_88/2011 vom 15. Juni 2011 E. 3.5). Er ist daher gemäss § 13 Abs. 1 VRPG zum Rekurs legitimiert. Auf den Rekurs ist insofern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2.1Das angefochtene Rayonverbot bildet eine Massnahme polizeilicher Natur und dient präventiv der Gefahrenabwehr (BGE 137 I 31 E. 5.2 S. 43, BGer 1C_88/2011 vom 15. Juni 2011 E. 3.5). Es darf nach Art. 4 Abs. 1 des Konkordats über Massnahmen gegen Gewalt anlässlich von Sportveranstaltungen (Konkordat; SG 123.400) angeordnet werden, wenn sich eine Person nachweislich an Gewalttätigkeiten gegen Personen oder Sachen beteiligt hat. In Art. 2 Abs. 1 lit. a-h des Konkordats findet sich eine nicht abschliessende Aufzählung von im Schweizerischen Strafgesetzbuch (StGB) geregelten Straftatbeständen, bei deren Begehung oder Anstiftung ein Rayonverbot angeordnet werden kann. Dazu gehören Straftaten gegen Leib und Leben, Sachbeschädigungen, Landfriedensbruch sowie Gewalt und Drohung gegen Behörden und Beamte. Als Nachweis für gewalttätiges Verhalten gelten gemäss Art. 3 des Konkordats entsprechende Gerichtsurteile oder polizeiliche Anzeigen, glaubwürdige Aussagen oder Bildaufnahmen der Polizei, der Zollverwaltung, des Sicherheitspersonals oder der Sportverbände und -vereine, Stadionverbote von Sportverbänden und -vereinen sowie Meldungen zuständiger ausländischer Behörden. Ausser bei Gerichtsurteilen kommt in allen diesen Fällen lediglich ein Verdacht zum Ausdruck. Ausgangspunkt für die polizeiliche Massnahme des Rayonverbots ist somit, ähnlich wie bei strafprozessualen Massnahmen, der Verdacht gewalttätigen Handelns (vgl. BGE 137 I 31 E. 5.2 S. 44). Ein förmlicher, strafprozessual erbrachter Beweis oder gar eine rechtskräftige strafrechtliche Verurteilung wird nicht verlangt (BGer 1C_88/2011 vom 15. Juni 2011 E. 3.5 mit Hinweis auf die Botschaft zur Änderung des BWIS; VGE VD.2014.212 vom 16. März 2015 E. 2.4.3; in allgemeiner Weise zum herabgesetzten Beweismass:Moeckli/Keller, Wegweisungen und Rayonverbote  ein Überblick, in: Sicherheit &amp; Recht 3/2012, S. 231, 239 f.; vgl. auch VGer SG B 2009/22 vom 22. September 2009 E. 3.2.2 und VGE VD.2014.212 vom 16. März 2015 E. 2.4).</w:t>
      </w:r>
    </w:p>
    <w:p>
      <w:r>
        <w:rPr>
          <w:b/>
        </w:rPr>
        <w:t>E. 2.2</w:t>
      </w:r>
    </w:p>
    <w:p>
      <w:r>
        <w:t>2.2.1Die Vorinstanzen stützen ihren Entscheid auf das Videomaterial, welches von der Kantonspolizei Solothurn anlässlich der Champions-League-Begegnung zwischen dem FC Basel und dem FC Schalke 04 vom 1. Oktober 2013 aufgenommen und von einem Szenekenner der Polizei ausgewertet worden ist. Darauf ist an vorderster Front des versammelten Mobs vermummter FCB-Hooligans auch ein Vermummter mit kräftiger Statur zu sehen. Zuerst befindet er sich im Bereich des Shopping-Centers St. Jakob, in der Folge auf einer Rasenfläche vor der St. Jakobs-Halle und schliesslich im Tross des Mobs, welcher sich vor dem Gartenbad St. Jakob formiert hat und von dort losgeschritten ist. Er wurde trotz seiner Vermummung aufgrund seiner korpulenten Statur, seines schwerfälligen Ganges, seiner Körperhaltung und seiner beim Verrücken der Sturmhaube erkennbaren Augenpartie vom Szenekenner identifiziert. Die Vorinstanz hat erwogen, bei dem als den Rekurrenten erkannten Vermummten springe tatsächlich die kräftige/korpulente Statur und der entsprechend schwerfällige Gang ins Auge. Diese Person hebe sich deutlich von den anderen an den Ausschreitungen beteiligten, vermummten Personen ab. Die Aussagen des Fahnders erschienen daher schlüssig.</w:t>
      </w:r>
    </w:p>
    <w:p>
      <w:r>
        <w:t>2.2.2Der Rekurrent hält dieser Beweiswürdigung zunächst entgegen, dass der Szenekenner, auf dessen Aussagen sich die Vorinstanzen bezögen, gar nicht vor Ort gewesen sei. Eine glaubwürdige Aussage gemäss Art. 3 des Konkordats setze aber voraus, dass die aussagende Person beim Vorfall anwesend gewesen ist. Auf dem vorhandenen Video würde man einfach eine Person erkennen, die aufgrund ihres korpulenten Körperbaus und dem dadurch bedingt zwangsläufig schwerfälligen Gang wie jede entsprechende Person auffallen würde. Nur weil der Polizeifahnder eine Person aus der Ultraszene mit korpulentem Körperbau kenne, sei dies aber kein Beweis, dass er diese Person sei. Auf den Videobändern sei das Gesicht dieser Person jeweils vermummt. Glaubwürdige Bildaufnahmen setzten aber voraus, dass ein Durchschnittsbetrachter die angeschuldigte Person erkenne.</w:t>
      </w:r>
    </w:p>
    <w:p>
      <w:r>
        <w:t>2.2.3Dieser Auffassung kann nicht gefolgt werden. Wie es dem Polizeirecht allgemein entspricht, wird auch im Anwendungsbereich des Konkordats das Rayonverbot als Massnahme zur Gefahrenabwehr auf entsprechende Anzeichen hin angeordnet. Grundlage für dessen Anordnung sind nach der Aufzählung von Art. 3 Abs. 1 Konkordat neben einer strafrechtlichen Verurteilung auch polizeiliche Anzeigen sowie glaubwürdige Aussagen oder Bildaufnahmen von Polizei, Zollorganen, des Sicherheitspersonals der Sportverbände und -vereine, Stadionverbote von Sportverbänden und -vereinen sowie Meldungen zuständiger ausländischer Behörden. Es wird mithin auf der Grundlage eines Verdachts angeordnet, dem im Verfahren auf Ergreifung von polizeilichen Massnahmen nachgegangen werden muss (BGE 137 I 31 E. 5.2 S. 43 f.; VGE VD.2014.212 vom 16. März 2015 E. 2.4.3). Als Anzeichen kommt damit im Ergebnis grundsätzlich jede Art der Informationsbeschaffung in Betracht (BGer 1C_50/2010 vom 16. November 2010 E. 5.2). Die daraus folgenden Hinweise sind aber im Einzelfall im Hinblick auf die konkret zu treffende Massnahmen zu prüfen und zu gewichten (BGer 1C_176/2013 vom 7. Januar 2014 E. 8, 1C_50/2010 vom 16. November 2010 E. 5.2; VGE VD.2014.212 vom 16. März 2015 E. 2.4.3). Ein förmlicher Beweis im strafprozessualen Sinne ist hingegen, wie in E. 2.1 ausgeführt, nicht erforderlich. Es genügt, wenn sich der Verdacht auf Gewalttätigkeiten aufgrund einer näheren Prüfung der konkreten Umstände erhärtet. Dabei ist namentlich darauf abzustellen, ob die in den Anzeigen oder Protokollen enthaltenen Aussagen als glaubwürdig erscheinen (VGer ZH VB.2008.00237 vom 19. Juni 2008 E. 5.2).</w:t>
      </w:r>
    </w:p>
    <w:p>
      <w:r>
        <w:t>Nicht notwendig erscheint auf dieser Grundlage, dass ein Polizeifahnder, der Videoaufnahmen auswertet, selber im Zeitpunkt der der Massnahme zu Grunde gelegten Handlungen vor Ort war. Im Gegenteil liegt es in der Natur des Videobeweises, dass die genaue Auswertung jeweils im Nachhinein erfolgen muss (Wohlers/Trunz, Hooliganismus-Bekämpfung: Kann die Schweiz von England lernen?, in: CaS 2011, S. 176, 188). Entscheidend erscheint allein, ob die Schlüsse des Fahnders auf der Grundlage des vorhandenen Materials als verlässlich erscheinen. Dabei kommt es nicht auf die Beurteilung eines Durchschnittsbetrachters der beurteilten Bilder und Filme an. Vielmehr müssen die Beurteilungen vor dem Hintergrund der spezifischen Kenntnisse des Polizeifachmanns nachvollzogen werden.</w:t>
      </w:r>
    </w:p>
    <w:p>
      <w:r>
        <w:t>2.3Weiter rügt der Rekurrent, dass entgegen den Ausführungen der Vorinstanz im angefochtenen Entscheid bisher kein Strafverfahren gegen ihn abgeschlossen worden sei. Dies ist von der Vorinstanz mit ihrer Vernehmlassung anerkannt worden. Das ist aber irrelevant, da eine strafrechtliche Verurteilung oder auch nur schon ein strafprozessual erhobener Sachverhalt als Grundlage für ein Rayonverbot nach dem Gesagten nicht erforderlich ist (vgl. BGer 1C_88/2011 vom 15. Juni 2011 E. 3.5).</w:t>
      </w:r>
    </w:p>
    <w:p>
      <w:r>
        <w:rPr>
          <w:b/>
        </w:rPr>
        <w:t>E. 2.4</w:t>
      </w:r>
    </w:p>
    <w:p>
      <w:r>
        <w:t>2.4.1Mit Bezug auf die Würdigung des Sachverhalts moniert der Rekurrent, dass ihm seine Aussageverweigerung im Massnahmeverfahren zum Vorwurf gemacht werde. Es gehöre zum Recht der angeschuldigten Person, ihre Aussage zu verweigern, ohne dass ihr daraus Nachteile erwachsen dürften. Das dem Strafverfahren angegliederte Verwaltungsverfahren müsse zum gleichen Ergebnis wie das Strafverfahren führen. Mit der Berücksichtigung der Aussageverweigerung werde der Nemo-tenetur-Grundsatz verletzt. Der Beweis sei von der Behörde zu führen, diese trage die Beweislast. Vorliegend habe die Polizei keinen den Anforderungen von Art. 3 des Konkordates genügenden Beweis erbracht. Es könne von ihm nicht der Beweis seiner Unschuld verlangt werden.</w:t>
      </w:r>
    </w:p>
    <w:p>
      <w:r>
        <w:t>2.4.2Es trifft zu, dass bei der Anordnung präventiver Massnahmen zum Schutz vor Gewalt an Sportveranstaltungen in beweismässiger Hinsicht kein wesentlich tieferer Standard als im Strafverfahren angesetzt und auf eine genauere Abklärung des Sachverhalts verzichtet werden darf (VGE VD.2010.36 vom 28. Januar 2011 E. 2.3). Vorliegend stützten sich die Vorinstanzen auf das Protokoll der Sichtung des Videomaterials durch einen namentlich genannten Szenekenner der Kantonspolizei. Darin wird der Rekurrent im Filmmaterial nach 10.47 Minuten als Person identifiziert, die zuvorderst im Mob steht und vermummt ist. Der Szenekenner begründete bei seiner Vernehmung durch die Staatsanwaltschaft, wie er zu seiner Identifikation gelangte. Er arbeite seit 7 Jahren als Szenekenner. Von Oktober 2010 bis Oktober 2013 habe er vollamtlich als Szenekenner Fussball gearbeitet. Dabei habe er regelmässig Heim- und Auswärtsspiele des FCB besucht und sich dabei ein Wissen über die verschiedenen Gruppierungen der Hooligan- und Ultraszene rund um den FCB aneignen können. Er habe dabei auch mit dem Rekurrenten gesprochen, weil dieser an Fussballspielen immer wieder negativ aufgefallen sei. Der Rekurrent gehöre zur Ultraszene und trete immer provozierend gegenüber der Polizei auf. Er habe ihn im Video aufgrund der Augenpartie, der markanten korpulenten/kräftigen Statur, seines Ganges und seiner Körperhaltung erkannt. Er sei sich zu 100 % sicher, dass es sich um den Rekurrenten handle. Der Rekurrent selbst hat, im Strafverfahren mit den entsprechenden Bildern konfrontiert, seine Aussage dazu verweigert.</w:t>
      </w:r>
    </w:p>
    <w:p>
      <w:r>
        <w:t>Vor diesem Hintergrund vermag der Rekurrent aus dem sogenannten Selbstbelastungsprivileg (nemo tenetur se ipsum prodere vel accusare, sog. Nemo-tenetur-Grundsatz) nichts zu seinen Gunsten abzuleiten.</w:t>
      </w:r>
    </w:p>
    <w:p>
      <w:r>
        <w:t>Dieser strafrechtliche Verfahrensgrundsatz findet im Verwaltungsrecht keine direkte Anwendung (Meier, Hooligankonkordat: präventive Verpackung, repressive Wirkung, AJP 2014 S. 668, 674). Wie im Strafverfahren hat zwar die Verwaltung nach der allgemeinen Beweislastregel von Art. 8 des Schweizerischen Zivilgesetzbuches, welche auch im öffentlichen Recht gilt, die Voraussetzungen für die Anordnung eines Rayonverbots nachzuweisen. Dabei gilt für die Abklärung der entsprechenden Sachverhaltselemente im Verwaltungsverfahren grundsätzlich dieUntersuchungsmaxime, welche die Behörde verpflichtet, den Sachverhalt von Amtes wegen vollständig und richtig festzustellen (Schwank, a.a.O. S. 435, 455). Die Behörde ist verantwortlich für die Beschaffung der für den Entscheid notwendigen Unterlagen (Kölz/Häner/Bertschi, Verwaltungsverfahren und Verwaltungsrechtspflege des Bundes, 3. Auflage, Zürich 2013, N 142). DieUntersuchungspflicht der Behörden gilt jedoch nicht absolut. Sie wird durch die Mitwirkungspflichten und -rechte der Parteien begrenzt. Falls bestimmte Tatsachen für die Behörden nicht oder nur schwer zugänglich sind, ergeben sichMitwirkungspflichten auch aus dem Grundsatz von Treu und Glauben. Die Parteien sind in solchen Fällen verpflichtet, bei der Sachverhaltsabklärung durch Auskunftserteilung oder Beibringen der Beweismittel mitzuwirken (statt vieler: VGE VD.2014.117 vom</w:t>
      </w:r>
    </w:p>
    <w:p>
      <w:r>
        <w:rPr>
          <w:b/>
        </w:rPr>
        <w:t>E. 4</w:t>
      </w:r>
    </w:p>
    <w:p>
      <w:r>
        <w:t>Mit dem Gesagten ist der Rekurs abzuweisen, soweit darauf eingetreten wird. Es besteht kein Anlass, von der Erhebung von Kosten abzusehen. Wie das Bundesgericht in seinem Urteil 1C_512/2015 vom 16. März 2016 festgestellt hat, hat der Rekurrent erstmals mit seiner Rekursbegründung vom 21. November 2014 um Einsicht in die Stellungnahme der Kantonspolizei vom 20. März 2014 ersucht. Diese wurde ihm nach erfolgter Rückweisung der Sache durch das Bundesgericht im verwaltungsgerichtlichen Verfahren erteilt. Von einer Verletzung des rechtlichen Gehörs kann somit nicht mehr gesprochen werden. Der vom Rekurrenten zitierte Entscheid (BGer 1C_233/2007 vom 14. Februar 2008 E. 2.1.3) ist nicht einschlägig. Im damaligen Verfahren hatte das Bundesgericht einen Sachverhalt zu beurteilen, bei dem die Vorinstanz der letzten kantonalen Instanz das rechtliche Gehör verletzt hat. Dies ist hier gemäss der verbindlichen Feststellung des Bundesgerichts nicht der Fall. Der Rekurrent trägt daher die Kosten des Verfahrens mit einer gegenüber dem verfügten Kostenvorschuss reduzierten Gebühr von CHF 750.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