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VD.2014.136 vom 20. März 2014</w:t>
      </w:r>
    </w:p>
    <w:p>
      <w:r>
        <w:t>BS Appellationsgericht, 2014-03-20, DE</w:t>
      </w:r>
    </w:p>
    <w:p>
      <w:r>
        <w:rPr>
          <w:b/>
        </w:rPr>
        <w:t xml:space="preserve">Quelle: </w:t>
      </w:r>
      <w:r>
        <w:t>https://mcp.opencaselaw.ch/entscheid/bs_appellationsgericht_VD.2014.136</w:t>
      </w:r>
    </w:p>
    <w:p>
      <w:r>
        <w:t>FR: BS_APPELLATIONSGERICHT VD.2014.136 du 20 mars 2014</w:t>
      </w:r>
    </w:p>
    <w:p>
      <w:r>
        <w:t>IT: BS_APPELLATIONSGERICHT VD.2014.136 del 20 marzo 2014</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bzw. § 10 Abs. 1 des Verwaltungsrechtspflegegesetzes (VRPG) Rekurs an das Verwaltungsgericht erhoben werden. Der Rekurs ist innert 30 Tagen seit der Zustellung zu erheben (§ 171 Abs. 2 StG). Das Verfahren richtet sich nach den Bestimmungen des VRPG (§ 171 Abs. 4 StG).</w:t>
      </w:r>
    </w:p>
    <w:p>
      <w:r>
        <w:t>Gemäss Art. 145 des Bundesgesetzes über die direkte Bundessteuer (DBG) kann das kantonale Recht den Weiterzug des Beschwerdeentscheids (der Steuerrekurskommission) bezüglich der direkten Bundessteuer an eine weitere verwaltungsunabhängige Instanz vorsehen. Die Beschwerde ist innert 30 Tagen seit Zustellung des angefochtenen Entscheids zu erheben (Art. 145 Abs. 2 i.V.m. Art. 140 Abs. 1 DBG). Für das Verfahren gelten in erster Linie die Verfahrensbestimmungen von Art. 140 144 DBG und subsidiär jene des kantonalen Rechts zum Rekursverfahren (Art. 145 Abs.</w:t>
      </w:r>
    </w:p>
    <w:p>
      <w:r>
        <w:rPr>
          <w:b/>
        </w:rPr>
        <w:t>E. 2</w:t>
      </w:r>
    </w:p>
    <w:p>
      <w:r>
        <w:t>2.1Vorliegend ist strittig, ob die Abweisung des Gesuchs um unentgeltliche Prozessführung für das Verfahren vor der Steuerrekurskommission und die Festsetzung eines Kostenvorschusses von CHF 500. zulässig war. Der Anspruch auf unentgeltliche Prozessführung und Verbeiständung wird in erster Linie durch das kantonale Prozessrecht geregelt. Daneben besteht der Anspruch auch unmittelbar aufgrund von Art. 29 Abs. 3 der Bundesverfassung (BV; vgl. auch Art. 6 Ziff. 3 lit. c EMRK). Nach gefestigter Praxis des Bundesgerichts gilt dieser verfassungsrechtliche Anspruch unabhängig von der Rechtsnatur der Entscheidungsgrundlagen und des Verfahrens für jedes staatliche Verfahren, in welches der Rechtsuchende einbezogen wird oder dessen er zur Wahrung seiner Rechte bedarf (BGE 130 I 180 E. 2.2 S. 182 und 128 I 225 E. 2.3 S. 227 m.H.; vgl. VGE VD.2011.59 vom 27. Oktober 2011 E.</w:t>
      </w:r>
    </w:p>
    <w:p>
      <w:r>
        <w:rPr>
          <w:b/>
        </w:rPr>
        <w:t>E. 2.1</w:t>
      </w:r>
    </w:p>
    <w:p>
      <w:r>
        <w:t>und VGE 642/2003 vom 4. August 2003 E. 3a, in: BJM 2005 S. 100 ff.). Für das Verfahren vor der Steuerrekurskommission finden sich die Bestimmungen zur unentgeltlichen Rechtspflege in § 136 Abs. 1 und 2 der Verordnung zum Gesetz über die direkten Steuern (Steuerverordnung [StV]). Deren Regelung geht indessen nicht über die verfassungsrechtliche Minimalgarantie von Art. 29 Abs.</w:t>
      </w:r>
    </w:p>
    <w:p>
      <w:r>
        <w:rPr>
          <w:b/>
        </w:rPr>
        <w:t>E. 3</w:t>
      </w:r>
    </w:p>
    <w:p>
      <w:r>
        <w:t>3.1Somit ist der Rekurs bzw. die Beschwerde gutzuheissen und an die Vorinstanz zum neuen Entscheid zurückzuweisen.</w:t>
      </w:r>
    </w:p>
    <w:p>
      <w:r>
        <w:t>3.2Bei diesem Ausgang des Verfahrens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