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VD.2014.117 vom 4. Dezember 2013</w:t>
      </w:r>
    </w:p>
    <w:p>
      <w:r>
        <w:t>BS Appellationsgericht, 2013-12-04, DE</w:t>
      </w:r>
    </w:p>
    <w:p>
      <w:r>
        <w:rPr>
          <w:b/>
        </w:rPr>
        <w:t xml:space="preserve">Quelle: </w:t>
      </w:r>
      <w:r>
        <w:t>https://mcp.opencaselaw.ch/entscheid/bs_appellationsgericht_VD.2014.117</w:t>
      </w:r>
    </w:p>
    <w:p>
      <w:r>
        <w:t>FR: BS_APPELLATIONSGERICHT VD.2014.117 du 4 décembre 2013</w:t>
      </w:r>
    </w:p>
    <w:p>
      <w:r>
        <w:t>IT: BS_APPELLATIONSGERICHT VD.2014.117 del 4 dicembre 2013</w:t>
      </w:r>
    </w:p>
    <w:p>
      <w:pPr>
        <w:pStyle w:val="Heading2"/>
      </w:pPr>
      <w:r>
        <w:t>Erwägungen</w:t>
      </w:r>
    </w:p>
    <w:p>
      <w:r>
        <w:rPr>
          <w:b/>
        </w:rPr>
        <w:t>E. 1</w:t>
      </w:r>
    </w:p>
    <w:p>
      <w:r>
        <w:t>1.1Die Zuständigkeit des Verwaltungsgerichts zur Beurteilung des vorliegenden Rekurses ergibt sich aus dem Überweisungsbeschluss des Präsidialdepartements sowie den §§ 10 ff. VRPG und § 42 OG.</w:t>
      </w:r>
    </w:p>
    <w:p>
      <w:r>
        <w:t>1.2Gegenstand des Rekurses ist eine gebührenpflichtige Verwarnung. Allein schon durch die Gebührenauflage ist die Rekurrentin berührt und hat ein schutzwürdiges Interesse an deren Aufhebung oder Änderung, weshalb auf den rechtzeitig erhobenen und begründeten Rekurs einzutreten ist (vgl. VGE VD.2012.170 vom 7. Februar 2013, VD.2011.61 vom 12. März 2012, je E. 1.2).</w:t>
      </w:r>
    </w:p>
    <w:p>
      <w:r>
        <w:t>1.3Die Kognition des Verwaltungsgerichts richtet sich nach den allgemeinen Vorschriften von § 8 VRPG und umfasst die Prüfung, ob die Verwaltung das massgebliche öffentliche Recht, vorliegend namentlich das Bundesgesetz zum Schutz vor Passivrauchen (PaRG) und das kantonale Gesetz über das Gastgewerbe (GGG), nicht oder nicht richtig angewendet, den Sachverhalt unrichtig festgestellt, wesentliche Form- oder Verfahrensvorschriften verletzt oder ihr Ermessen überschritten oder missbraucht hat. Über die Angemessenheit der Verfügung ist dagegen nicht zu entscheiden. Im Rekursverfahren vor Verwaltungsgericht gilt das Rügeprinzip. Das Verwaltungsgericht prüft einen angefochtenen Entscheid nicht von sich aus unter allen in Frage kommenden Aspekten, sondern untersucht nur die rechtzeitig vorgebrachten konkreten Beanstandungen (Wullschleger/Schröder, Praktische Fragen des Verwaltungsprozesses im Kanton Basel-Stadt, BJM 2005 305;Stamm, Die Verwaltungsgerichtsbarkeit, in: Buser (Hrsg.), Neues Handbuch des Staats- und Verwaltungsrechts des Kantons Basel-Stadt, S. 504).</w:t>
      </w:r>
    </w:p>
    <w:p>
      <w:r>
        <w:rPr>
          <w:b/>
        </w:rPr>
        <w:t>E. 2</w:t>
      </w:r>
    </w:p>
    <w:p>
      <w:r>
        <w:t>Abs. 1 in Verbindung mit Art. 1 Abs. 1 PaRG und § 34 GGG zu gelten hat. Hierzu hat sich die Rekurrentin im verwaltungsinternen Rekursverfahren eingehend äussern können. Eine allfällige Verletzung ihres Gehörsanspruchs im Vorfeld des Erlasses der kostenpflichtigen Verwarnung wäre als leicht zu qualifizieren und konnte daher nach der Rechtsprechung im Rechtsmittelverfahren geheilt werden.</w:t>
      </w:r>
    </w:p>
    <w:p>
      <w:r>
        <w:rPr>
          <w:b/>
        </w:rPr>
        <w:t>E. 3</w:t>
      </w:r>
    </w:p>
    <w:p>
      <w:r>
        <w:t>3.1Gemäss Art. 2 Abs. 1 in Verbindung mit Art. 1 Abs. 1 PaRG ist das Rauchen in geschlossenen Räumen, welche öffentlich zugänglich sind oder mehreren Personen als Arbeitsplatz dienen, verboten. Als öffentlich zugängliche Räume gelten gemäss Art. 1 Abs. 2 lit. h PaRG insbesondere auch Restaurations- und Hotelbetriebe. Gemäss Art. 3 PaRG können Restaurationsbetriebe auf Gesuch hin als Raucherlokale bewilligt werden, wenn der Betrieb eine dem Publikum zugängliche Gesamtfläche von höchstens 80 m2hat, gut belüftet und nach aussen leicht erkennbar als Raucherlokal bezeichnet ist und nur Arbeitnehmerinnen und Arbeitnehmer beschäftigt, die einer Tätigkeit im Raucherlokal im Arbeitsvertrag zugestimmt haben.</w:t>
      </w:r>
    </w:p>
    <w:p>
      <w:r>
        <w:t>Das Rauchverbot gemäss der kantonalrechtlichen Regelung in § 34 GGG geht gestützt auf die explizite Ermächtigung zum Erlass weitergehender kantonaler Regelungen in Art.</w:t>
      </w:r>
    </w:p>
    <w:p>
      <w:r>
        <w:rPr>
          <w:b/>
        </w:rPr>
        <w:t>E. 4</w:t>
      </w:r>
    </w:p>
    <w:p>
      <w:r>
        <w:t>Aus dem Gesagten folgt, dass der Rekurs abzuweisen ist. Bei diesem Ausgang des Verfahrens sind gemäss § 30 Abs. 1 VRPG dessen ordentliche Kosten mit einer Gebühr von CHF 1800. der Rekurrentin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