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VD.2013.235 vom 12. Dezember 2013</w:t>
      </w:r>
    </w:p>
    <w:p>
      <w:r>
        <w:t>BS Appellationsgericht, 2013-12-12, DE</w:t>
      </w:r>
    </w:p>
    <w:p>
      <w:r>
        <w:rPr>
          <w:b/>
        </w:rPr>
        <w:t xml:space="preserve">Quelle: </w:t>
      </w:r>
      <w:r>
        <w:t>https://mcp.opencaselaw.ch/entscheid/bs_appellationsgericht_VD.2013.235</w:t>
      </w:r>
    </w:p>
    <w:p>
      <w:r>
        <w:t>FR: BS_APPELLATIONSGERICHT VD.2013.235 du 12 décembre 2013</w:t>
      </w:r>
    </w:p>
    <w:p>
      <w:r>
        <w:t>IT: BS_APPELLATIONSGERICHT VD.2013.235 del 12 dicembre 2013</w:t>
      </w:r>
    </w:p>
    <w:p>
      <w:pPr>
        <w:pStyle w:val="Heading2"/>
      </w:pPr>
      <w:r>
        <w:t>Erwägungen</w:t>
      </w:r>
    </w:p>
    <w:p>
      <w:r>
        <w:rPr>
          <w:b/>
        </w:rPr>
        <w:t>E. 1</w:t>
      </w:r>
    </w:p>
    <w:p>
      <w:r>
        <w:t>1.1Gegen Entscheide der Kinder- und Erwachsenenschutzbehörden kann gemäss Art. 450 Abs. 1 in Verbindung mit Art. 440 Abs. 3 und Art. 314 Abs. 1 ZGB sowie § 17 Abs. 1 des Kindes- und Erwachsenenschutzgesetzes (KESG) Beschwerde an das Verwaltungsgericht erhoben werden. Für das Verfahren vor dem Verwaltungsgericht gelten in Erwachsenenschutzsachen in erster Linie die Bestimmungen von Art. 450 ff. ZGB, subsidiär diejenigen des KESG sowie des VRPG und schliesslich die Bestimmungen der Schweizerischen ZPO in sinngemässer Ergänzung dieser beiden kantonalen Erlasse (§ 19 Abs. 1 KESG in Verbindung mit Art. 450f ZGB).</w:t>
      </w:r>
    </w:p>
    <w:p>
      <w:r>
        <w:t>1.2Als betroffener Kindsvater und Adressat des angefochtenen Entscheides war der Beschwerdeführer gemäss Art. 450 Abs. 2 in Verbindung mit 314 Abs. 1 ZGB zur Beschwerde legitimiert. Auf die rechtzeitig erhobene (Art. 450b ZGB) und begründete Beschwerde ist somit einzutreten.</w:t>
      </w:r>
    </w:p>
    <w:p>
      <w:r>
        <w:t>1.3Mit neuem Entscheid vom 30. Januar 2014 hat die KESB in Anwendung von Art. 450d Abs. 2 ZGB ihren Entscheid vom 12. Dezember 2013 im angefochtenen Punkt in Wiedererwägung gezogen und Ziff. 4 des Dispositivs durch eine neue Regelung ersetzt. Mit der Aufhebung des Anfechtungsobjekts ist das Rechtsschutzinteresse des Beschwerdeführers an der Beurteilung seiner Beschwerde entfallen und das Beschwerdeverfahren somit gegenstandslos geworden. Entsprechend ist das Verfahren als erledigt abzuschreiben.</w:t>
      </w:r>
    </w:p>
    <w:p>
      <w:r>
        <w:rPr>
          <w:b/>
        </w:rPr>
        <w:t>E. 2</w:t>
      </w:r>
    </w:p>
    <w:p>
      <w:r>
        <w:t>2.1Wird ein Verfahren abgeschrieben,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oder wie aufgrund der Sachlage vor Eintritt des Erledigungsgrunds hätte entschieden werden müssen (Beusch, in: Auer/Müller/ Schindler [Hrsg.], Kommentar zum Bundesgesetz über das Verwaltungsverfahren, St. Gallen 2008, Art. 63 N 16;Maillard, in: Waldmann/Weissenberger [Hrsg.], Praxiskommentar zum Bundesgesetz über das Verwaltungsverfahren, Zürich 2009, Art. 63 Rz. 17;Pfleiderer, in: Waldmann/Weissenberger [Hrsg.], Praxiskommentar zum Bundesgesetz über das Verwaltungsverfahren, Zürich 2009, Art. 58 Rz. 50; zu Art. 107 Abs. 1 lit. e ZPO:Jenny, in: Sutter-Somm/Hasenböhler/Leuenberger [Hrsg.], Kommentar zur Schweizerischen ZPO, 2. Auflage, Zürich 2013, Art. 107 N 16;Rüegg, in: Basler Kommentar ZPO, 2. Auflage, Basel 2013, Art. 107 N 8). Bei der Beurteilung der Kostenfolgen im Rekurs- resp. Beschwerdeverfahren muss aber der angefochtene Entscheid bloss einer summarischen Prüfung unterzogen werden (Schwank, Das verwaltungsinterne Rekursverfahren des Kantons Basel-Stadt, Diss. Basel 2003, S. 198; VGE VD.2012.104 vom 31. Januar 2013 E. 2.1).</w:t>
      </w:r>
    </w:p>
    <w:p>
      <w:r>
        <w:t>2.2Mit dem Wiedererwägungsentscheid vom 30. Januar 2014 hat die KESB  wie vom Beschwerdeführer verlangt  die vom Bezirksgericht Bremgarten mit Entscheid vom</w:t>
      </w:r>
    </w:p>
    <w:p>
      <w:r>
        <w:rPr>
          <w:b/>
        </w:rPr>
        <w:t>E. 3</w:t>
      </w:r>
    </w:p>
    <w:p>
      <w:r>
        <w:t>Juli 2013 genehmigte Vereinbarung der Kindseltern über die Regelung des Besuchs- und Ferienrechts berücksichtigt und den Auftrag des Beistands entsprechend angepasst. Damit hat sie dem Antrag des Beschwerdeführers im vorliegenden Verfahren entsprochen. Anhaltspunkte dafür, dass die erst mit der Wiedererwägung erfolgte Berücksichtigung der genannten Vereinbarung auf eine Verletzung der Mitwirkungspflicht oder ein anderes prozessuales Verschulden des Beschwerdeführers zurückzuführen wäre, macht die Vorinstanz nicht geltend und sind auch nicht ersichtlich. Daraus folgt, dass auf die Erhebung von Kosten für das vorliegende Verfahren zu verzichten und die Vorinstanz zu verpflichten ist, dem Beschwerdeführer eine angemessene Parteientschädigung auszurichten. Mangels einer eingereichten Kostennote ist der angemessene Aufwand der Vertreterin des Beschwerdeführers praxisgemäss zu schätzen. Dabei erweist sich aufgrund der Sache selber und des Umfangs der Beschwerdebegründung ein Aufwand von rund sechs Stunden als angemessen. Auf der Grundlage eines Überwälzungstarifs von CHF 250. pro Stunde und in Aufrechnung der ebenfalls zu schätzenden Auslagen ist die Parteientschädigung auf CHF 1'600. zuzüglich 8 %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