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VD.2013.158 vom 11. April 2014</w:t>
      </w:r>
    </w:p>
    <w:p>
      <w:r>
        <w:t>BS Appellationsgericht, 2014-04-11, DE</w:t>
      </w:r>
    </w:p>
    <w:p>
      <w:r>
        <w:rPr>
          <w:b/>
        </w:rPr>
        <w:t xml:space="preserve">Quelle: </w:t>
      </w:r>
      <w:r>
        <w:t>https://mcp.opencaselaw.ch/entscheid/bs_appellationsgericht_VD.2013.158</w:t>
      </w:r>
    </w:p>
    <w:p>
      <w:r>
        <w:t>FR: BS_APPELLATIONSGERICHT VD.2013.158 du 11 avril 2014</w:t>
      </w:r>
    </w:p>
    <w:p>
      <w:r>
        <w:t>IT: BS_APPELLATIONSGERICHT VD.2013.158 del 11 aprile 2014</w:t>
      </w:r>
    </w:p>
    <w:p>
      <w:pPr>
        <w:pStyle w:val="Heading2"/>
      </w:pPr>
      <w:r>
        <w:t>Erwägungen</w:t>
      </w:r>
    </w:p>
    <w:p>
      <w:r>
        <w:rPr>
          <w:b/>
        </w:rPr>
        <w:t>E. 1</w:t>
      </w:r>
    </w:p>
    <w:p>
      <w:r>
        <w:t>1.1Gemäss Art. 165 Abs. 1 und 4 der Handelsregisterverordnung vom 17. Oktober 2007 (HRegV; SR 221.411) können Verfügungen der kantonalen Handelsregisterämter innert 30 Tagen mit Beschwerde angefochten werden. Beschwerdeinstanz im Sinne von Art. 165 Abs. 2 HRegV ist gemäss § 53b Abs. 2 der kantonalen Verordnung zum Einführungsgesetz zum Schweizerischen Zivilgesetzbuch von 9. Dezember 1911 (SG 211.110) das Appellationsgericht als Verwaltungsgericht.</w:t>
      </w:r>
    </w:p>
    <w:p>
      <w:r>
        <w:t>1.2Gemäss Art. 165 Abs. 3 lit. a und lit. b HRegV sind Personen und Rechtseinheiten zur Beschwerde legitimiert, deren Anmeldung abgewiesen wurde, oder solche, die von der Eintragung von Amtes wegen unmittelbar berührt sind. Gegenstand der vorliegenden Beschwerde ist die Abweisung der Eintragung des Vereins Schule A_____ ins Handelsregister. Somit ist der Beschwerdeführer gemäss Art. 165 Abs.</w:t>
      </w:r>
    </w:p>
    <w:p>
      <w:r>
        <w:rPr>
          <w:b/>
        </w:rPr>
        <w:t>E. 3</w:t>
      </w:r>
    </w:p>
    <w:p>
      <w:r>
        <w:t>3.1Gemäss seinen Statuten vom 30. Mai 2009 bezweckt der Beschwerdeführer den Betrieb einer Privatschule auf christlicher Grundlage. Der Verein ist gemäss Ziffer 5 der Statuten nicht gewinnorientiert. Das Vereinsvermögen ist ausschliesslich dem vorgenannten Zweck gewidmet. Den Mitgliedern steht kein persönlicher Anspruch auf das Vereinsvermögen zu. Im Falle der Auflösung Vereins wird ein allfällig vorhandenes Vereinsvermögen durch Vereinsbeschluss einer anderen steuerbefreiten Institution mit gleicher oder ähnlicher Zwecksetzung übertragen. Aus den Akten geht hervor, dass der Beschwerdeführer von vier Personen gegründet worden ist, welche gemäss Protokoll der Mitgliederversammlung vom 19. Juni 2012 die einzigen Mitglieder des Vereins sind. Anlässlich der genannten Mitgliederversammlung wurde C_____, die Ehefrau des Präsidenten des Beschwerdeführers, in den Vorstand des Vereins gewählt. Gemäss Protokoll der Vorstandssitzung vom gleichen Tag wurde C_____ als Delegierte des Vorstandes und Schulleiterin gewählt. Dem Lohnausweis von C_____ für das Jahr 2012 ist zu entnehmen, dass sie in diesem einen Lohn von CHF 16200. vom Beschwerdeführer bezogen hat. Gemäss Ausführungen des Beschwerdeführers habe sich C_____ im Schuljahr 2012/2013 mit einer Reduktion ihrer monatlichen Entschädigung auf CHF 1'000. brutto einverstanden erklärt, da die Schule aus strukturellen Gründen in jenem Schuljahr finanziell besonders herausgefordert gewesen sei. Der Beschwerdeführer hat gemäss Erfolgsrechnung 2011 im genannten Jahr Einnahmen von CHF 153'704. und im Jahr 2012 gemäss der entsprechenden Erfolgsrechnung Einnahmen von CHF 120'013. generiert. Gemäss Ausführungen des Beschwerdeführers seien sämtliche anderen Vorstands- und Vereinsmitglieder ausschliesslich ehrenamtlich für den Verein tätig. Der Verein bestehe immer noch aus den vier Gründungsmitgliedern, die Lehrerinnen würden bewusst nicht als Mitglieder des Vereins aufgenommen.</w:t>
      </w:r>
    </w:p>
    <w:p>
      <w:r>
        <w:t>3.2Gemäss Art. 91 HRegV wird eine Rechtseinheit nur als Verein ins Handelsregister eingetragen, wenn sie nicht zugleich einen wirtschaftlichen Zweck verfolgt und ein nach kaufmännischer Art geführtes Gewerbe betreibt. Im vorliegenden Fall ist unbestritten, dass der Beschwerdeführer ein nach kaufmännischer Art geführtes Gewerbe betreibt. Ebenfalls unbestritten ist, dass der Beschwerdeführer der statutarischen Zielsetzung entsprechend eine Schule betreibt. Unbestritten ist weiter, dass es sich beim statutarisch festgelegten Zweck um einen nichtwirtschaftlichen Zweck im Sinne von Art. 91 HRegV handelt (vgl. dazu:Berger, Stämpflis Handkommentar zur Handelsregisterverordnung, Bern 2013, Art. 91 HRegV, N 2). Streitig ist hingegen, ob der Beschwerdeführer durch die Entlöhnung des Vorstandsmitglieds C_____ für seine Tätigkeit als Schulleiterin einen wirtschaftlichen Zweck verfolgt, der einer Eintragung im Handelsregister entgegen stehen würde. In der Lehre und Rechtsprechung hat sich im Sinne einer allgemeinen Abgrenzung etabliert, dass der Zweck eines Vereins dann ideeller Natur ist, wenn der Verein überhaupt keine wirtschaftlichen Vorteile anstrebt oder zumindest nur solche zugunsten von Nichtmitgliedern. Ein wirtschaftlicher Zweck liegt hingegen vor, wenn es der Endzweck des Vereins ist, einen wirtschaftlichen Vorteil zugunsten seiner Mitglieder zu erzielen (Riemer, Stämpflis Handkommentar, Vereins- und Stiftungsrecht, Bern 2012, Art. 60 N 16). Brückner zufolge ist es sinnvoll, bezüglich des Zweckes auf die Gesamtheit der Tätigkeiten eines Vereins abzustellen und im Sinne einer Nutzwertanalyse die Frage zu stellen, wem die Vereinstätigkeit primär nützt (Brückner, Das Personalrecht des ZGB, Zürich 2000, S. 346, Rn. 1145). Gemäss Egger ist bei mehreren Zwecken auf den Hauptzweck abzustellen (Egger,in: Zürcher Kommentar, Art. 60 N 8). Die Verbindung eines ideellen mit einem gleichrangigen wirtschaftlichen (Haupt-)Zweck hingegen ist nicht zugelassen (Heini/Scherrer,in:Basler Kommentar ZGB,</w:t>
      </w:r>
    </w:p>
    <w:p>
      <w:r>
        <w:rPr>
          <w:b/>
        </w:rPr>
        <w:t>E. 4</w:t>
      </w:r>
    </w:p>
    <w:p>
      <w:r>
        <w:t>Aus den genannten Gründen ist die Beschwerde gutzuheissen und die angefochtene Verfügung aufzuheben. Bei diesem Ausgang des Beschwerdeverfahrens sind dafür keine Kosten zu erheben. Der Beschwerdeführer beantragt die Zusprechung einer Parteientschädigung. B_____ ist zwar als Advokat tätig und im Anwaltsregister des Kantons Basel-Stadt eingetragen. Er hat die Beschwerde im vorliegenden Fall aber in seiner Funktion als Präsident des Vereins und auf dessen Briefpapier verfasst und daher als Organ des Beschwerdeführers gehandelt. Einer in eigener Sache prozessierenden Partei kann nur in Ausnahmefällen eine Parteientschädigung zugesprochen werden (VGE VD.2011.153 vom 12. Februar 2012 E. 2.1), was auch für in eigener Sache auftretende Anwälte gilt (VGE 681/2008 vom 23. Dezember 2008; vgl. für das bundesgerichtliche Verfahren BGer 2P.41/2005 vom 11. August 2005 E.6 mit Hinweis aufGeiser,in: Geiser/Münch [Hrsg.], Prozessieren vor Bundesgericht, 2. Auflage Basel/Frankfurt a. M. 1998, § 1 Grundlagen, Rz. 1.22). Konsequenterweise müssen diese Grundsätze ebenso für Advokaten gelten, die als Organe juristischer Personen auftreten (VGE VD.2011.153 vom 15. Februar 2012 E. 2.1). Nach bundesgerichtlicher Rechtsprechung in sozialversicherungsrechtlichen Fällen müssen, damit eine Parteientschädigung für Prozessieren in eigener Sache zugesprochen wird, kumulativ eine komplexe Sache mit hohem Streitwert, ein hoher Arbeitsaufwand und ein vernünftiges Verhältnis zwischen dem betriebenen Aufwand und dem Ergebnis der Interessenwahrung vorhanden sein (BGE 110 V 132 E. 3d S. 134 f.; BGer H_175/05 vom 17. Januar 2006 E. 6, VGE VD 2011.153 vom 15. Februar 2012 E. 2.1). Dabei muss der hohe Arbeitsaufwand den Rahmen dessen überschreiten, was dem Einzelnen üblicherweise zugemutet werden kann, nebenbei zur Besorgung der persönlichen Angelegenheiten auf sich zu nehmen (VGE VD 2011.153 vom 15 Februar 2012 E. 2.1, VGE VD.2010.231 vom 7. November 2011 m.H. auf BGer 23C_807/2008 vom 19. Juni 2009, BGE 110 V 132 und 129 V 113 sowie BGer 9C_1094/2009 vom 31. Mai 2010). Der Vereinspräsident, B_____ war bereits vor Verfassen der Beschwerde bestens mit der Thematik des Falles vertraut, da er die vorangehende Korrespondenz mit dem Handelsregisteramt führte und alle wesentlichen Punkte der Beschwerde bereits in der Korrespondenz mit dem Handelsregisteramt thematisiert hatte. Für das Verfassen der vorliegenden Beschwerdebegründung und Replik war unter diesen Umständen kein übermässig hoher Arbeitsaufwand  im Sinne der vorgenannten Rechtsprechung erforderlich, welcher die Zusprechung einer Parteientschädigung rechtfertigen würde. Im vorliegenden Fall hat der Beschwerdeführer zudem betont, dass mit Ausnahme von C_____ alle anderen Vorstandsmitglieder, zu welchen auch er gehört, ihre Tätigkeit für den Verein ehrenamtlich besorgen würden. Der Antrag auf Parteientschädigung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