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VD.2013.154 vom 7. Januar 2014</w:t>
      </w:r>
    </w:p>
    <w:p>
      <w:r>
        <w:t>BS Appellationsgericht, 2014-01-07, DE</w:t>
      </w:r>
    </w:p>
    <w:p>
      <w:r>
        <w:rPr>
          <w:b/>
        </w:rPr>
        <w:t xml:space="preserve">Quelle: </w:t>
      </w:r>
      <w:r>
        <w:t>https://mcp.opencaselaw.ch/entscheid/bs_appellationsgericht_VD.2013.154</w:t>
      </w:r>
    </w:p>
    <w:p>
      <w:r>
        <w:t>FR: BS_APPELLATIONSGERICHT VD.2013.154 du 7 janvier 2014</w:t>
      </w:r>
    </w:p>
    <w:p>
      <w:r>
        <w:t>IT: BS_APPELLATIONSGERICHT VD.2013.154 del 7 gennaio 2014</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StG nach den Bestimmungen des Gesetzes über die Verfassungs- und Verwaltungsrechtspflege (VRPG; SG 270.100). 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140-144DBG, subsidiär jene des kantonalen Rechts über Organisation und Verfahren, insbesondere jene über den Rekurs (Art. 145 DBG i.V.m. Art. 4 Abs. 2 und Art. 6 der Verordnung des EFD über die Behandlung von Erlassgesuchen für die direkte Bundessteuer [Steuererlassverordnung; SR 642.121] und § 1 der baselstädtischen Verordnung über den Vollzug der direkten Bundessteuer [DBStV; SG 660.100]; VGE VD.2010.155 vom 26. Juli 2011).</w:t>
      </w:r>
    </w:p>
    <w:p>
      <w:r>
        <w:t>1.2Vorliegend angefochten ist eine verfahrensleitende Verfügung des Präsidiums der Steuerrekurskommission. Grundsätzlich können beim Verwaltungsgericht nur Endverfügungen bzw. -entscheide angefochten werden, mithin Verfügungen und Entscheide, welche das Verfahren vor der Vorinstanz formell und materiell abschliessen (§ 10 Abs. 1 VRPG; dazu auchStamm, Die Verwaltungsgerichtsbarkeit, in: Denise Buser (Hrsg.), Neues Handbuch des Staats- und Verwaltungsrechts des Kantons Basel-Stadt, Basel 2008, S. 477 ff., 484 f.;Wullschleger/Schröder, Praktische Fragen des Verwaltungsprozesses im Kanton Basel-Stadt, in: BJM 2005 S. 277 f., 281 f.). Die selbständige Anfechtung von Zwischenentscheiden ist allerdings dann zulässig, wenn diese einen nicht wieder gutzumachenden Nachteil bewirken können (§ 10 Abs. 2 VRPG). Nach ständiger Praxis des Verwaltungsgerichts bedeutet die Verweigerung der unentgeltlichen Rechtspflege für die betroffene Person ohne weiteres einen nicht wieder gutzumachenden Nachteil, weil ihr unter Umständen wegen fehlender finanzieller Mittel die Beschreitung des Rechtswegs verwehrt wird (statt vieler VGE VD.2010.250 vom 28. Oktober 2010 und VGE 642/2003 vom 4. August 2003).</w:t>
      </w:r>
    </w:p>
    <w:p>
      <w:r>
        <w:t>1.3Nach § 13 Abs. 1 VRPG ist zum Rekurs berechtigt, wer durch die angefochtene Verfügung berührt ist und ein schutzwürdiges Interesse an ihrer Aufhebung oder Änderung hat. Die Rekurrenten sind als Adressaten des angefochtenen Entscheides, mit dem ihnen die unentgeltliche Rechtspflege verweigert worden ist, beschwert und daher zum Rekurs legitimiert. Auf den rechtzeitig erhobenen und begründeten Rekurs ist einzutreten.</w:t>
      </w:r>
    </w:p>
    <w:p>
      <w:r>
        <w:rPr>
          <w:b/>
        </w:rPr>
        <w:t>E. 2</w:t>
      </w:r>
    </w:p>
    <w:p>
      <w:r>
        <w:t>2.1Die Steuerrekurskommission hat das Gesuch der Rekurrenten um Bewilligung der unentgeltlichen Rechtspflege abgewiesen, da deren Einkommen den geschützten Grundbedarf um CHF 1'260. übersteigen würde. Die entsprechende Berechnung konnte einem beigelegten Berechnungsblatt entnommen werden, welches zum integrierenden Bestandteil der Verfügung erklärt worden ist. Aufgrund des dadurch innerhalb von drei Monaten sich ergebenden Überschusses könne den Rekurrenten zugemutet werden, sowohl die ordentlichen Kosten wie auch allfällige Vertretungskosten vorzuschiessen.</w:t>
      </w:r>
    </w:p>
    <w:p>
      <w:r>
        <w:t>2.2Der Anspruch auf unentgeltliche Prozessführung und Verbeiständung wird in erster Linie durch das kantonale Prozessrecht geregelt. Daneben besteht er auch unmittelbar aufgrund vonArt. 29 Abs. 3 der Bundesverfassung (BV; SR 101; vgl. auch Art. 6 Ziff. 3 lit. c der Konvention zum Schutze der Menschenrechte und Grundfreiheiten [EMRK; SR 0.101]).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128 I 225 E. 2.3 S. 227 mit Hinweisen; vgl. VGE VD.2011.59 vom 27. Oktober 2011 E. 2.1 und VGE 642/2003 vom</w:t>
      </w:r>
    </w:p>
    <w:p>
      <w:r>
        <w:rPr>
          <w:b/>
        </w:rPr>
        <w:t>E. 4</w:t>
      </w:r>
    </w:p>
    <w:p>
      <w:r>
        <w:t>August 2003 E. 3a = BJM 2005 S. 100 ff.). Das baselstädtische Recht regelt die Voraussetzungen für die Bewilligung der unentgeltlichen Rechtspflege im Verfahren vor der Steuerrekurskommission nicht explizit (vgl. § 165 StG i.V.m. § 30 Abs. 2 i.f. VRPG). Das kantonale Recht geht damit nicht über die verfassungsrechtliche Minimalgarantie vonArt. 29 Abs. 3 BV hinaus (VGE VD.2011.59 vom 27. Oktober 2011 E. 2.1 mit Hinweisen). Aus diesem Grund kann ohne weiteres auf die verfassungsrechtlichen Minimalansprüche abgestellt werden.</w:t>
      </w:r>
    </w:p>
    <w:p>
      <w:r>
        <w:t>NachArt.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(BGer 8C_453/2011 vom 29. Juli 2011 E. 2.3; BGE 133 III 614 E. 5 S. 616). Nach konstanter bundesgerichtlicher Praxis beurteilt sich die prozessuale Bedürftigkeit nach der gesamten wirtschaftlichen Situation des Rechtsuchenden im Zeitpunkt der Einreichung des Gesuchs. Dazu gehören einerseits sämtliche finanzielle Verpflichtungen, anderseits die Einkommens- und Vermögensverhältnisse (BGer 4D_30/2009 vom 1. Juli 2009 E. 5.1; BGer 5P.295/2005 vom 4. Oktober 2005 E. 2.2; BGE 120 Ia 179 E. 3a S. 181; 124 I 1 E. 2a S. 2). Es obliegt dem Gesuchsteller, dem Instruktionsrichter lückenlos und übersichtlich seine Einkommens- und Vermögensverhältnisse darzulegen (vgl. AGE BE.2011.25 vom 9. März 2011 E. 3.1; 944/2006 vom 9. August 2006). Für den Anspruch auf unentgeltliche Verbeiständung bedarf es zudem der Notwendigkeit der Verbeiständung. Nach der Rechtsprechung des Bundesgerichts gilt diese verfassungsrechtliche Minimalgarantie auch im Verwaltungsbeschwerde- und Verwaltungsgerichtsverfahren (BGer 8C_453/2011 vom 29. Juli 2011 E. 2 und 8C_224/2011 vom 11. April 2011 E. 4).</w:t>
      </w:r>
    </w:p>
    <w:p>
      <w:r>
        <w:t>2.3Die Rekurrenten verwahren sich zunächst dagegen, dass ihr Rekurs sowieso keine Chance auf Erfolg habe. Dieser Vorwurf zielt aber an der Begründung der angefochtenen Verfügung vorbei. Darin wird nur allgemein ausgeführt, dass ein Gesuch um unentgeltliche Prozessführung nur dann bewilligt werden könne, wenn das Begehren in der Sache nicht zum vornherein als aussichtslos erscheine. Diese Feststellung ist korrekt. Vorliegend hat aber die Steuerverwaltung eine solche Beurteilung der Prozesschancen gar nicht vorgenommen.</w:t>
      </w:r>
    </w:p>
    <w:p>
      <w:r>
        <w:t>Das Begehren wurde allein deshalb abgewiesen, weil die Rekurrenten aufgrund ihres Einkommens nicht als bedürftig erschienen. Die Vorinstanz hat diesbezüglich auf ihre detaillierte Berechnung des erweiterten und erhöhten Bedarfs und des Einkommens der Rekurrenten verwiesen. Mit dieser Berechnung setzen sich die Rekurrenten in ihrem Rekurs mit keinem Wort auseinander. Sie beschränken sich darauf, diese Berechnung als zu fehlerhaft und theoretisch, zu meinen Ungunsten zu bezeichnen. Worin aber die Fehler der Berechnung liegen sollen, ist nicht ersichtlich und kann auch den der Vorinstanz vorliegenden Akten nicht entnommen werden. Diese ging vielmehr beim Einkommen von den Angaben des Ombudsmanns in seinem Schreiben vom 25. Juni 2013 aus. Die bei der Berechnung eingesetzten Kosten entsprechen ebenfalls den von den Rekurrenten selber genannten Zahlen. Allein bei den Krankenkassenprämien wurden die Prämienverbilligungen in Abzug gebracht. Dies erscheint korrekt, haben die Rekurrenten aufgrund ihres Einkommens darauf doch offensichtlich Anspruch. Nicht angerechnet wurden mangels Belegen allein die geltend gemachten Unterhalts- und Unterstützungsbeiträge sowie Auslagen für Arzt, Medikamente etc. Den Nachweis für solche Ausgaben haben die Rekurrenten weder im vorinstanzlichen noch im vorliegenden Verfahren erbracht.</w:t>
      </w:r>
    </w:p>
    <w:p>
      <w:r>
        <w:t>Auf die weiteren, sich der Fäkalsprache annähernden Ausführungen der Rekurrenten braucht nicht weiter eingetreten zu werden.</w:t>
      </w:r>
    </w:p>
    <w:p>
      <w:r>
        <w:t>3.</w:t>
      </w:r>
    </w:p>
    <w:p>
      <w:r>
        <w:t>Daraus folgt, dass der Rekurs abzuweisen ist. Bei diesem Ausgang des Verfahrens haben die Rekurrenten dessen Kosten zu tragen. Bei der Festsetzung der Höhe der Gebühr ist allerdings ihrer finanziellen Situation Rechnung zu tragen. Sie ist leicht über dem gesetzlichen Minimum auf CHF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