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VD.2012.25 vom 20. Mai 2009</w:t>
      </w:r>
    </w:p>
    <w:p>
      <w:r>
        <w:t>BS Appellationsgericht, 2009-05-20, DE</w:t>
      </w:r>
    </w:p>
    <w:p>
      <w:r>
        <w:rPr>
          <w:b/>
        </w:rPr>
        <w:t xml:space="preserve">Quelle: </w:t>
      </w:r>
      <w:r>
        <w:t>https://mcp.opencaselaw.ch/entscheid/bs_appellationsgericht_VD.2012.25</w:t>
      </w:r>
    </w:p>
    <w:p>
      <w:r>
        <w:t>FR: BS_APPELLATIONSGERICHT VD.2012.25 du 20 mai 2009</w:t>
      </w:r>
    </w:p>
    <w:p>
      <w:r>
        <w:t>IT: BS_APPELLATIONSGERICHT VD.2012.25 del 20 maggio 2009</w:t>
      </w:r>
    </w:p>
    <w:p>
      <w:pPr>
        <w:pStyle w:val="Heading2"/>
      </w:pPr>
      <w:r>
        <w:t>Erwägungen</w:t>
      </w:r>
    </w:p>
    <w:p>
      <w:r>
        <w:rPr>
          <w:b/>
        </w:rPr>
        <w:t>E. 1</w:t>
      </w:r>
    </w:p>
    <w:p>
      <w:r>
        <w:t>Mit der teilweisen Gutheissung der Beschwerde in öffentlich-rechtlichen Angelegenheiten hat das Bundesgericht das Urteil des Verwaltungsgerichts vom 6. Mai 2013 teilweise aufgehoben. Damit ist im Rückweisungsverfahren neu über die Kostenverteilung im verwaltungsgerichtlichen Rekursverfahren zu befinden.</w:t>
      </w:r>
    </w:p>
    <w:p>
      <w:r>
        <w:rPr>
          <w:b/>
        </w:rPr>
        <w:t>E. 2</w:t>
      </w:r>
    </w:p>
    <w:p>
      <w:r>
        <w:t>Das Bundesgericht hat die Beschwerde der Rekurrentin teilweise gutgeheissen und die Kosten des Verfahrens hälftig den Parteien auferlegt (E. 5.2.1 des Urteils vom 2. Mai 2014). Entsprechend dieser Aufteilung sind auch die Kosten des verwaltungsgerichtlichen Verfahrens, welche im Urteil vom 6. März 2013 mit CHF 1'700. bemessen wurden, hälftig der Rekurrentin aufzuerlegen.</w:t>
      </w:r>
    </w:p>
    <w:p>
      <w:r>
        <w:t>Bezüglich der geltend gemachten Parteientschädigung hat die Rekurrentin im ganzen Verfahren darauf verzichtet, ihre Vertretungskosten zu substanzieren. Auch im bundesgerichtlichen Verfahren hat sie allein die Zusprechung einer angemessenen Entschädigung für die Parteikosten im vorinstanzlichen Verfahren beantragt, wobei "der erhöhten Komplexität der sich stellenden Rechtsfragen angemessen Rechnung zu tragen" sei. Daher ist die Höhe der zuzusprechenden Parteientschädigung auf der Grundlage einer Schätzung des angemessenen Vertretungsaufwands festzulegen. Die Sache hat sich als komplex erwiesen. Diese Komplexität spiegelt sich auch im berechtigten Umfang der Rechtsschriften (Rekursanmeldung, 20-seitige Rekursbegründung, 12-seitige Replik auf die Vernehmlassungen der Steuerrekurskommission und der Steuerverwaltung, erbetene Stellungnahme vom 20. Dezember 2012). Das Bundesgericht hat den Aufwand für die 30-seitige Beschwerde im bundesgerichtlichen Verfahren mit einer verminderten Parteientschädigung von CHF 2'000. (inkl. Auslagen und Mehrwertsteuer) abgegolten (E. 5.2.2 des Urteils vom 2. Mai 2014). Insgesamt scheint ein Aufwand von 25 Stunden im Verfahren vor Verwaltungsgericht zu einem Überwälzungstarif von CHF 250./Stunde als angemessen. Daraus resultiert unter Einrechnung notwendiger Auslagen im Betrag von rund CHF 250. für Kopien etc. eine Parteientschädigung von CHF 6'500.. Entsprechend dem Prozessausgang ist der Rekurrentin eine reduzierte, d.h. hälftige Parteientschädigung von CHF 3'250. zuzüglich Mehrwertsteuer zu Lasten der Steuerverwaltung zuzusprechen.</w:t>
      </w:r>
    </w:p>
    <w:p>
      <w:r>
        <w:rPr>
          <w:b/>
        </w:rPr>
        <w:t>E. 3</w:t>
      </w:r>
    </w:p>
    <w:p>
      <w:r>
        <w:t>Die Rekurrentin hat vor Steuerrekurskommission die Gutheissung ihres Rekurses unter Verlegung der Kosten zu ihren Gunsten und Zusprechung einer Parteientschädigung verlangt. Die Sache ist deshalb im Weiteren an die Vorinstanz zur Neuregelung der Kostenverteilung im Verfahren vor der Steuerrekurskommission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