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VD.2012.248 vom 23. Dezember 2014</w:t>
      </w:r>
    </w:p>
    <w:p>
      <w:r>
        <w:t>BS Appellationsgericht, 2014-12-23, DE</w:t>
      </w:r>
    </w:p>
    <w:p>
      <w:r>
        <w:rPr>
          <w:b/>
        </w:rPr>
        <w:t xml:space="preserve">Quelle: </w:t>
      </w:r>
      <w:r>
        <w:t>https://mcp.opencaselaw.ch/entscheid/bs_appellationsgericht_VD.2012.248</w:t>
      </w:r>
    </w:p>
    <w:p>
      <w:r>
        <w:t>FR: BS_APPELLATIONSGERICHT VD.2012.248 du 23 décembre 2014</w:t>
      </w:r>
    </w:p>
    <w:p>
      <w:r>
        <w:t>IT: BS_APPELLATIONSGERICHT VD.2012.248 del 23 dicembre 2014</w:t>
      </w:r>
    </w:p>
    <w:p>
      <w:pPr>
        <w:pStyle w:val="Heading2"/>
      </w:pPr>
      <w:r>
        <w:t>Erwägungen</w:t>
      </w:r>
    </w:p>
    <w:p>
      <w:r>
        <w:rPr>
          <w:b/>
        </w:rPr>
        <w:t>E. 1</w:t>
      </w:r>
    </w:p>
    <w:p>
      <w:r>
        <w:t>1.1Gemäss § 171 des Gesetzes über die direkten Steuern (Steuergesetz; StG, SG 640.100) respektive § 10 Abs. 1 des Verwaltungsrechtspflegegesetzes (VRPG; SG 270.100) kann die betroffene Person gegen Entscheide der Steuerrekurskommission Rekurs an das Verwaltungsgericht erheben. Das Verfahren richtet sich nach den Bestimmungen des VRPG (§ 171 Abs. 4 StG [Fassung vom 24. Oktober 2012, wirksam seit 8. Dezember 2012]). Der Rekurrent ist als Adressat des angefochtenen Entscheids von diesem berührt und hat ein schutzwürdiges Interesse an dessen Aufhebung oder Änderung, weshalb er gemäss § 13 Abs. 1 VRPG zum Rekurs legitimiert ist. Der Rekurs wurde innerhalb der 30-tägigen Rekursfrist eingereicht und begründet, sodass darauf einzutreten ist.</w:t>
      </w:r>
    </w:p>
    <w:p>
      <w:r>
        <w:t>1.2Die Kognition des Verwaltungsgerichts richtet sich nach der allgemeinen Bestimmung von § 8 VRPG, da das Steuergesetz keine speziellen Vorschriften über das Rekursverfahren vor dem Verwaltungsgericht enthält (vgl. § 171 StG). Demnach ist zu prüfen, ob die Verwaltung öffentliches Recht nicht oder nicht richtig angewendet, den massgeblichen Sachverhalt unrichtig festgestellt, wesentliche Form- oder Verfahrensvorschriften verletzt oder ihr Ermessen überschritten oder missbraucht hat.</w:t>
      </w:r>
    </w:p>
    <w:p>
      <w:r>
        <w:t>1.3Da es sich bei Steuersachen nicht um zivilrechtliche Ansprüche im Sinne von Art. 6 EMRK handelt, muss keine Verhandlung durchgeführt und kann das Urteil auf dem Zirkulationsweg gefällt werden (§ 25 Abs. 3 VRPG; BGer 2P.7/2004 vom 8. Juni 2004 E. 1.3 und 2P.41/2002 vom 10. Juni 2003 E. 5 m.w.H.).</w:t>
      </w:r>
    </w:p>
    <w:p>
      <w:r>
        <w:rPr>
          <w:b/>
        </w:rPr>
        <w:t>E. 2</w:t>
      </w:r>
    </w:p>
    <w:p>
      <w:r>
        <w:t>2.1Zwischen den Parteien war ursprünglich die Rechtsfrage streitig, ob die einmalige Bonuszahlung von CHF 50'000., die der Rekurrent im Januar 2008 erhalten hat, vollumfänglich vom Kanton Basel-Stadt besteuert werden darf, oder ob diese Zahlung, so wie es der Kanton Basel-Landschaft praktiziert hat, anteilsmässig im Verhältnis zur Dauer des Wohnsitzes zu berücksichtigen sei  was dem Kreisschreiben Nr. 14 der Schweizerischen Steuerkonferenz (SSK) vom 6. Juli 2001 eher entspricht. Ausgangspunkt und umstritten war die Auslegung von Art. 38 Abs. 4 StHG: "Verlegt eine nach den Artikeln 32, 33 und 34 Absatz 2 steuerpflichtige natürliche Person innerhalb der Schweiz ihren Wohnsitz oder Aufenthalt, so steht dem jeweiligen Wohnsitz- oder Aufenthaltskanton das Besteuerungsrecht im Verhältnis zur Dauer der Steuerpflicht zu." Das Bundesgericht hat die strittige Auslegungsfrage in BGer 2C_116/2013, 2C_117/2013 vom 2. September 2013 E. 3.7 f. im Sinne des Zuflussprinzips entschieden: Unregelmässige Einkünfte sind als Steuersubstrat ausschliesslich dem "Zuflusskanton" zuzuweisen. Vorliegend wäre dies der Kanton Basel-Stadt.</w:t>
      </w:r>
    </w:p>
    <w:p>
      <w:r>
        <w:t>2.2Im Nachgang zu diesem Bundesgerichtsentscheid hat die SSK am 4. Juli 2014 eine Empfehlung herausgegeben. Die SSK hält fest, dass ihr Kreisschreiben Nr. 14 vom</w:t>
      </w:r>
    </w:p>
    <w:p>
      <w:r>
        <w:rPr>
          <w:b/>
        </w:rPr>
        <w:t>E. 6</w:t>
      </w:r>
    </w:p>
    <w:p>
      <w:r>
        <w:t>Juli 2001 nicht mehr angewendet werden kann. Sie empfiehlt den kantonalen Steuerverwaltungen, bei interkantonalem Wohnsitzwechsel auch von quellensteuerpflichtigen Personen, die nachträglich ordentlich veranlagt werden, das Zuzugs- bzw. Stichtagsprinzip anzuwenden  so, wie es auch für der ordentlichen Veranlagung unterstehende Personen gilt. In diesem Sinn empfiehlt die SSK das Vorgehen, dass die steuerpflichtige Person ihre Steuererklärung in demjenigen Kanton einreicht, in dem sie am Ende der Steuerperiode ihren Wohnsitz hat. Der Zuzugskanton  vorliegend also der Kanton Basel-Landschaft  veranlagt die steuerpflichtige Person für die ganze Steuerperiode und bezieht die entsprechende Steuer unter Anrechnung der bereits abgezogenen Quellensteuern. Der Wegzugskanton  vorliegend also der Kanton Basel-Stadt  überweist dem Zuzugskanton die abgezogenen und ihm abgelieferten Quellensteuern.</w:t>
      </w:r>
    </w:p>
    <w:p>
      <w:r>
        <w:t>Weil in einigen seltenen Fällen die steuerpflichtige Person besser fahren würde, wenn anstelle des Zuzugsprinzips die geltende gesetzliche Regelung (inkl. Zuflussprinzip) angewendet würde, kann sie dies verlangen.</w:t>
      </w:r>
    </w:p>
    <w:p>
      <w:r>
        <w:t>2.3Die Steuerverwaltung hat bekannt gegeben, dass sie diese Weisung auf alle hängigen Fälle anwendet. Es ist kein Grund dafür ersichtlich, sie nicht auch auf den vorliegenden, hängigen Fall anzuwenden. Die Grundlagen für die Veranlagung des Rekurrenten haben sich damit allerdings fundamental verändert: Der ursprünglichen, zentralen Rechtsfrage nach der  zwingenden  Anwendung des Zuflussprinzips kommt insofern keine Bedeutung mehr zu, als es der Rekurrent nun selber in der Hand hat, das für ihn günstigere System zu wählen. Angesichts dieser Entwicklung und nachdem die Parteien und die Vorinstanz keine Einwände erhoben haben, ist der angefochtene Entscheid in Gutheissung des Rekurses aufzuheben und die Sache zur Neubeurteilung an die Steuerverwaltung zurückzuweisen.</w:t>
      </w:r>
    </w:p>
    <w:p>
      <w:r>
        <w:t>3.</w:t>
      </w:r>
    </w:p>
    <w:p>
      <w:r>
        <w:t>Bei diesem Ausgang des Verfahrens rechtfertigt es sich, auf die Erhebung von Kosten zu verzichten.</w:t>
      </w:r>
    </w:p>
    <w:p>
      <w:r>
        <w:t>Der Rekurrent stellt seine Rechtsbegehren "unter Kostenfolge zugunsten des Steuerpflichtigen."</w:t>
      </w:r>
    </w:p>
    <w:p>
      <w:r>
        <w:t>Zur berufsmässigen Vertretung vor Verwaltungsgericht ist nur befugt, wer in einem kantonalen Anwaltsregister eingetragen ist (§ 4 Abs. 1 Advokaturgesetz [SG 91.100]). Als berufsmässig gilt die Parteivertretung gegen Entgelt (§ 4 Abs. 2 Advokaturgesetz). Der Vertreter des Rekurrenten ist Jurist und dipl. Wirtschaftsprüfer; indessen ist er nicht als Anwalt eingetragen, weshalb ihm im Verfahren vor Verwaltungsgericht keine Parteientschädigung zugesprochen werden kann.</w:t>
      </w:r>
    </w:p>
    <w:p>
      <w:r>
        <w:t>Für das Verfahren vor der Steuerrekurskommission ist der Vertreter des Rekurrenten zwar zur berufsmässigen Vertretung befugt (§ 4 Abs. 3 Advokaturgesetz). Indessen hat er vor Vorinstanz keinen Antrag auf Parteientschädigung gestellt, sodass hierüber nicht zu befinden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