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VD.2012.239 vom 11. Juni 2013</w:t>
      </w:r>
    </w:p>
    <w:p>
      <w:r>
        <w:t>BS Appellationsgericht, 2013-06-11, DE</w:t>
      </w:r>
    </w:p>
    <w:p>
      <w:r>
        <w:rPr>
          <w:b/>
        </w:rPr>
        <w:t xml:space="preserve">Quelle: </w:t>
      </w:r>
      <w:r>
        <w:t>https://mcp.opencaselaw.ch/entscheid/bs_appellationsgericht_VD.2012.239</w:t>
      </w:r>
    </w:p>
    <w:p>
      <w:r>
        <w:t>FR: BS_APPELLATIONSGERICHT VD.2012.239 du 11 juin 2013</w:t>
      </w:r>
    </w:p>
    <w:p>
      <w:r>
        <w:t>IT: BS_APPELLATIONSGERICHT VD.2012.239 del 11 giugno 2013</w:t>
      </w:r>
    </w:p>
    <w:p>
      <w:pPr>
        <w:pStyle w:val="Heading2"/>
      </w:pPr>
      <w:r>
        <w:t>Erwägungen</w:t>
      </w:r>
    </w:p>
    <w:p>
      <w:r>
        <w:rPr>
          <w:b/>
        </w:rPr>
        <w:t>E. 1</w:t>
      </w:r>
    </w:p>
    <w:p>
      <w:r>
        <w:t>1.1§ 20 des Gesetzes über den Betrieb von Taxis (Taxigesetz, SG 563.200) verweist für das Rechtsmittelverfahren auf die Vorschriften des Gesetzes betreffend die Organisation des Regierungsrates und der Verwaltung des Kantons Basel-Stadt(Organisationsgesetz [OG], SG 153.100). Das Präsidialdepartement hat den an den Regierungsrat gerichteten Rekurs ohne eigenen Entscheid an das Verwaltungsgericht überwiesen, womit gemäss § 42 OG in Verbindung mit § 12 des Gesetzes über die Verfassungs- und Verwaltungsrechtspflege (VRPG; SG 270.100) dessen Zuständigkeit gegeben ist (VGE VD.2010.126 vom 25. November 2011, E. 1.1). Der Rekurrent ist vom angefochtenen Entscheid berührt und hat ein schutzwürdiges Interesse an dessen Aufhebung. Er ist daher gemäss § 13 Abs. 1 VRPG zum Rekurs legitimiert.</w:t>
      </w:r>
    </w:p>
    <w:p>
      <w:r>
        <w:t>1.2Die Kognition des Verwaltungsgerichts richtet sich mangels einer spezialgesetzlichen Regelung nach § 8 VRPG. Demnach prüft das Gericht, ob die Verwaltung öffentliches Recht nicht oder nicht richtig angewendet, den Sachverhalt unrichtig festgestellt, wesentliche Form- oder Verfahrensvorschriften verletzt oder ihr Ermessen überschritten oder missbraucht hat.</w:t>
      </w:r>
    </w:p>
    <w:p>
      <w:r>
        <w:t>2.2.1Gemäss § 9 des Taxigesetzes sind Taxihalterbewilligungen, welche gemäss § 4 des Taxigesetzes zum Betrieb von Taxis auf dem Gebiet des Kantons Basel-Stadt berechtigen, zu entziehen, wenn festgestellt wird, dass die gesetzlichen Voraussetzungen zur Erteilung nicht oder nicht mehr bestehen. Diese sind in § 6 des Taxigesetzes aufgezählt und beinhalten unter anderem, dass der Taxihalter über einen guten Leumund verfügt (§ 6 Abs. 1 lit. b Taxigesetz) und dass gegen ihn keine Verlustscheine aus den letzten 5 Jahren oder Betreibungen in bedeutendem Umfang bestehen (§ 6 Abs. 3 Taxigesetz). Nach § 9 Abs. 2 des Taxigesetzes können Taxihalterbewilligungen schliesslich auch dann entzogen werden, wenn der Taxihalter in schwerer Weise oder wiederholt gegen Verkehrsvorschriften oder gegen Bestimmungen über den Betrieb von Taxis verstossen hat, zu solchen Widerhandlungen angestiftet oder sie mehrmals geduldet hat. In leichten Fällen können der Bewilligungsentzug angedroht und die Belassung der Bewilligung mit Auflagen verbunden werden.</w:t>
      </w:r>
    </w:p>
    <w:p>
      <w:r>
        <w:t>2.2Die Vorinstanz hat gestützt auf diese Bestimmungen erwogen, dem Rekurrenten sei mit Verfügung des Taxibüros vom 24. September 2008 der Entzug der Taxihalterbewilligung auf unbestimmte Zeit für den Fall angedroht worden, dass sein Verhalten während einer zweijährigen Probezeit zu weiteren Klagen Anlass geben sollte. Diese Probezeit habe vom 24. September 2008 bis zum 24. September 2010 gedauert. Mit Urteil des Appellationsgerichts Basel-Stadt vom 31. August 2011 sei der Rekurrent wegen einer am 17. November 2008 begangenen einfachen Körperverletzung und mit Urteil des Strafgerichts vom 24. März 2010 unter anderem wegen einer am 25. Juni 2009 begangenen Überschreitung der Höchstgeschwindigkeit innerorts sowie wegen Verfehlungen im Zusammenhang mit den Taxivorschriften verurteilt worden. Es sei daher erstellt, dass der Rekurrent während der zweijährigen Probezeit mindestens zweimal einschlägig negativ in Erscheinung getreten sei (vor-instanzlicher Entscheid, S. 5/6). Der Leumund des Rekurrenten sei aufgrund seiner Verurteilungen vom 9. Juli 2004, 4. Oktober 2007, 10. Februar 2011 und 31. August 2011 wegen grober Verstösse gegen die Strassenverkehrsvorschriften sowie einfacher Körperverletzungen im Sinne von §</w:t>
      </w:r>
    </w:p>
    <w:p>
      <w:r>
        <w:rPr>
          <w:b/>
        </w:rPr>
        <w:t>E. 6</w:t>
      </w:r>
    </w:p>
    <w:p>
      <w:r>
        <w:t>Nach dem Gesagten erweist sich der Rekurs als unbegründet und ist abzuweisen. Der Rekurrent hat dem Ausgang des Verfahrens entsprechend dessen Kosten mit einer Gebühr von CHF 1'200.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