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SB.2024.5 vom 11. Februar 2025</w:t>
      </w:r>
    </w:p>
    <w:p>
      <w:r>
        <w:t>BS Appellationsgericht, 2025-02-11, DE</w:t>
      </w:r>
    </w:p>
    <w:p>
      <w:r>
        <w:rPr>
          <w:b/>
        </w:rPr>
        <w:t xml:space="preserve">Quelle: </w:t>
      </w:r>
      <w:r>
        <w:t>https://mcp.opencaselaw.ch/entscheid/bs_appellationsgericht_SB.2024.5</w:t>
      </w:r>
    </w:p>
    <w:p>
      <w:r>
        <w:t>FR: BS_APPELLATIONSGERICHT SB.2024.5 du 11 février 2025</w:t>
      </w:r>
    </w:p>
    <w:p>
      <w:r>
        <w:t>IT: BS_APPELLATIONSGERICHT SB.2024.5 del 11 febbraio 2025</w:t>
      </w:r>
    </w:p>
    <w:p>
      <w:pPr>
        <w:pStyle w:val="Heading2"/>
      </w:pPr>
      <w:r>
        <w:t>Erwägungen</w:t>
      </w:r>
    </w:p>
    <w:p>
      <w:r>
        <w:rPr>
          <w:b/>
        </w:rPr>
        <w:t>E. 18</w:t>
      </w:r>
    </w:p>
    <w:p>
      <w:r>
        <w:t>August 2023 E. 1.2.3; 6B_926/2020 vom 20. Dezember 2022 E. 1.4.3; 6B_517/2022 vom 7. Dezember 2022 E. 2.1.2, 6B_160/2022 vom 5. Oktober 2022 E. 2.4; je m.w. Hinw.).</w:t>
      </w:r>
    </w:p>
    <w:p>
      <w:r>
        <w:t>Nach dem Grundsatz der der freien und umfassenden Beweiswürdigung (Art. 10 Abs. 2 StPO) würdigt das Gericht die Beweise frei nach seiner aus dem gesamten Verfahren gewonnenen Überzeugung. Es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 vgl. auchWohlers, in: Zürcher Kommentar, 3. Aufl. 2020, Art. 10 StPO N 25 und 31). Solange das Sachgericht den Standards der Beweiswürdigung folgt, hat es dabei einen weiten Ermessensspielraum (in BGE 143 IV 214 nicht publ. E. 13.1 des BGer 6B_824/2016 vom 10. April 2017, BGer 6B_547/2014 vom 21. Juli 2014 E. 1.1 und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 Hinw.).</w:t>
      </w:r>
    </w:p>
    <w:p>
      <w:r>
        <w:t>5.2.1Neben den objektiven Beweisen hat das Gericht insbesondere zahlreiche Aussagen zu würdigen, das heisst auf ihre Glaubhaftigkeit zu prüfen (vgl. BGE 147 IV 534 E. 2.3.3).</w:t>
      </w:r>
    </w:p>
    <w:p>
      <w:r>
        <w:t>Die Glaubhaftigkeit einer Aussage bestimmt sich im Wesentlichen nach ihrem Inhalt. Danach unterscheiden sich Aussagen über selbst erlebte Ereignisse in ihrer Qualität von Aussagen, welche nicht auf selbst erlebten Vorgängen beruhen (vgl.Ludewig/Baumer/Tavor, in: Aussagepsychologie für die Rechtspraxis, 2017, S. 43 ff.;Undeutsch, Beurteilung der Glaubhaftigkeit von Zeugenaussagen, in: Forensische Psychiatrie, 1968, S. 26 ff.). In die Würdigung der Aussagequalität ist neben den inhaltlichen Gesichtspunkten stets auch die Entstehungsgeschichte (Aussagegenese) und damit die Motivlage der aussagenden Person miteinzubeziehen.</w:t>
      </w:r>
    </w:p>
    <w:p>
      <w:r>
        <w:t>Überprüft wird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BGer 6B_1006/2017 vom 24. Oktober 2018 E. 2.3.3; 6B_760/2010 vom 13. Dezember 2010 E. 2.3; vgl. auchHenriette Haas, Ein Vorschlag zur methodischen Aktualisierung der Beweiswürdigung in aussagenpsychologischen Gutachten, in: «Kriminalistik»10/2022 S. 567 ff., Ziff. 3.3). Damit eine Aussage als zuverlässig erachtet werden kann, ist sie besonders auf das Vorhandensein von Real- bzw. Realitätskriterien und umgekehrt auf das Fehlen von Phantasiesignalen zu überprüfen (vgl.Ludewig/Baumer/Tavor, a.a.O., S. 46 ff.;Wiprächtiger, Aussagepsychologische Begutachtung im Strafrecht, forumpoenale 2010 S. 40 f.;Dittmann, Zur Glaubhaftigkeit von Zeugenaussagen, in: plädoyer 2/1997 S. 33 ff.;Zweidler, ZBJV 132/1996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 Hinw.).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 Hinw.; BGer 6B_542/2019 vom 28. August 2019 E.2.3.1; kritisch zur Fokussierung auf die Unwahrhypothese und für eine Analyse von einer neutralen Ausgangsposition her:Henriette Haas, a.a.O. S. 567 ff.). In jedem Fall sind gegenüber den Realitätskriterien auch mögliche Anhaltspunkte für eine Falschbezichtigung abzuwägen (dazuDittmann, a.a.O. S. 34 f.).</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w:t>
      </w:r>
    </w:p>
    <w:p>
      <w:r>
        <w:t>5.2.2Hinsichtlich der Aussagegenese besteht  wie regelmässig bei Streitigkeiten unter Nachbarn  die Schwierigkeit, dass bei den Befragten nicht von einer ganz neutralen Position ausgegangen werden kann. Allerdings wird das vom Berufungskläger wiederholt angeführte Motiv, ihn als unliebsam gewordenen Nachbarn zu Unrecht oder im Übermass zu belasten, etwa durch den Umstand relativiert, dass sein Mietverhältnis zur Tatzeit bereits gekündigt war. Sollte das den anderen Nachbarn nicht bekannt gewesen sein, so war doch anlässlich der Befragung von B____ und D____ vor erster Instanz die nachbarschaftliche Situation bereits ganz beendet. Sie hätten also spätestens zu diesem Zeitpunkt kein Motiv mehr gehabt, den Berufungskläger zu belasten und hätten von ihren früheren Depositionen etwas zurückweichen können, indem sie Erinnerungslücken geltend gemacht oder die Vorwürfe abgemildert hätten. Das ist weitestgehend nicht geschehen. Ausserdem fällt auf, dass sowohl B____ als auch D____ verneinen, die Übergriffe auf den jeweils anderen gesehen zu haben, obwohl sie leicht das Gegenteil hätten behaupten können. So beschrieb etwa B____ mehrere Gelegenheiten, bei welchen er im Streit zwischen D____ und dem Berufungskläger interveniert habe. Dabei erwähnt er aber von sich aus, dass es bei keinem dieser Vorfälle zu Schlägen gekommen sei, und zwar von keiner Seite. Es gibt keinerlei Hinweise darauf, dass die beiden Nachbarn sich abgesprochen hätten, um gemeinsam den in Ungnade gefallenen Berufungskläger aus der Wohnung «zu ekeln». Dasselbe gilt im Übrigen für E____. Schliesslich ist zu erwähnen, dass weder B____ noch D____ eine Zivilforderung gegen den Berufungskläger erhoben hat. Monetäre Interessen an einem Schuldspruch bestehen demnach keine. D____ hat sich auch nicht als Privatkläger konstituiert und konnte folgerichtig unter entsprechender Belehrung als Zeuge befragt werden. Dennoch gilt es, die konfliktbehaftete nachbarschaftliche Situation bei der Bewertung der jeweiligen Aussagen angemessen zu berücksichtigen.</w:t>
      </w:r>
    </w:p>
    <w:p>
      <w:r>
        <w:t>5.2.3Was die inhaltliche Qualität betrifft, so überzeugen sowohl die Aussagen von B____ als auch diejenigen von D____ durch zahlreiche erfüllte Realkriterien. Beide Schilderungen sind lebendig, farbig und mit angemessenem Detailreichtum ausgestattet, wobei die Darstellungen bisweilen sprunghaft sind und überhaupt nicht stereotyp wirken. Es werden mitunter auch ungewöhnliche Details erwähnt. Etwa, wenn B____ beschreibt, wie er dem Berufungskläger gefolgt sei, in dessen im Mülleimer deponierten Tasche aber nur Asche und Ähnliches gefunden habe, worauf ihn der Berufungskläger ausgelacht habe. Dies schilderte B____ im Übrigen sowohl vor der Staatsanwaltschaft als auch vor der ersten Instanz deckungsgleich. Weiter sagte B____ anlässlich seiner ersten Einvernahme aus, der vom Berufungskläger verwendete Stock habe die Dicke eines Besenstiels gehabt, sei aber «mehr ein Ast» gewesen, was mit dem beim Berufungskläger aufgefundenen mutmasslichen Tatwerkzeug korrespondiert (Akten S. 213). An der erstinstanzlichen Hauptverhandlung korrigierte B____ sogar auf den irrtümlichen Vorhalt hin «Sie haben gesagt, dass er einen Besenstiel in der Hand hatte», es habe sich nicht um einen Besenstiel, sondern eher um einen Ast gehandelt (Akten S. 541). Beide Befragten schildern die Vorfälle eingebettet in einen räumlichen und zeitlichen Kontext. Sie beschreiben auch ihre eigene Gemütslage und stellen Mutmassungen über den innerpsychologischen Zustand des Berufungsklägers an. Sie beschreiben Interaktionen genau, benennen auch, wenn sie etwas nicht (mehr) wissen. Eindrücklich ist, dass trotz der bereits seit langem andauernden Konfliktsituation mit dem Berufungskläger weder D____ noch B____ in eine dramatisierende Schilderung verfallen. So meinte etwa der betagte D____ von sich aus, sein blaues Auge sei «nicht so schlimm» gewesen und er sei deswegen nur einmal zum Arzt gegangen. Auch B____, der immerhin wegen des Vorfalls in seiner Wohnung für drei Monate anderswo untergekommen sein will, beschrieb den Angriff des Berufungsklägers als relativ harmlos (ein nicht mehr ganz leichtes Schubsen, ob dem er aber nicht umgefallen sei). Überhaupt fällt auf, dass beide Befragten den Berufungskläger keineswegs im Übermass zu belasten scheinen, sondern vielmehr ihn auch entlasten, ihm mit gewissem Verständnis begegnen und in menschlicher Hinsicht kein schlechtes Zeugnis ausstellen. Nicht zuletzt ist zu betonen, dass die Aussagen über beide Befragungen hinweg konstant sind. Die einzige Abweichung in den Aussagen von B____ betreffend den Vorwurf, dass der Berufungskläger in geschubst habe, konnte dieser vor erster Instanz nachvollziehbar erklären. Die Tatsache, dass er vor erster Instanz diesen wesentlichen Punkt zunächst nicht gemäss seiner ursprünglichen Darstellung wiedergab, deutet vielmehr darauf hin, dass er keine bewusst konstruierten Geschichten erfunden hat, um dem Berufungskläger zu schaden.</w:t>
      </w:r>
    </w:p>
    <w:p>
      <w:r>
        <w:t>Was die Aussagen von D____ zum Faustschlag (Anklagepunkt I.7.) betrifft, werden diese durch die Beweiserhebungen zu seiner Verletzung gestützt sowie durch die Aussagen von E____, welcher den besagten Streit im Treppenhaus als so heftig wahrgenommen hat, dass er die Polizei requiriert, und das «Veilchen» von D____ danach gesehen hat. Dem Einwand des Verteidigers, D____ habe den Vorfall nicht stringent wiedergegeben, ist entgegenzuhalten, dass dieser das Kerngeschehen trotz des erheblichen Zeitabstands zwischen der staatsanwaltlichen Einvernahme und der erstinstanzlichen Hauptverhandlung in konsistenter Weise schilderte. Die Tatsache, dass seine Darstellung nicht in allen Einzelheiten deckungsgleich ausfällt, spricht vielmehr dafür, dass er sich keine einstudierte Geschichte zurechtgelegt hat, sondern bemüht war, das Erlebte nach bestem Wissen und Gewissen wiederzugeben. Im Übrigen ist klarzustellen, dass entgegen der Darstellung der Verteidigung D____ im Rahmen der Hauptverhandlung mit keinem Wort davon sprach, beim Berufungskläger geklingelt zu haben. Vielmehr schilderte er, dass er sich über den Lärm habe beschweren wollen, woraufhin ihm der Berufungskläger vor der Wohnungstür einen Faustschlag versetzt habe. Demgegenüber präsentierte der Berufungskläger anlässlich der Berufungsverhandlung eine gänzlich neue Version des Geschehensablaufs. So sei er nach Hause gekommen und D____ habe sich ihm im Treppenhaus in den Weg gestellt (zweitinstanzliches Verhandlungsprotokoll S. 5).</w:t>
      </w:r>
    </w:p>
    <w:p>
      <w:r>
        <w:t>7.2.2Hat der Täter durch eine oder mehrere Handlungen die Voraussetzungen für mehrere gleichartige Strafen erfüllt, so verurteilt das Gericht ihn zur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schwerste Delikt anhand der abstrakten Strafandrohung zu bestimmen und alsdann die Einsatzstrafe für die schwerste Tat innerhalb dieses Strafrahmens festzusetzen; diese Einsatzstrafe kann durchaus niedriger sein als andere im Rahmen der Gesamtstrafenbildung zu berücksichtigende verwirkte Einzelstrafen (BGE 144 IV 217 E. 3.5.1, m. zahlr. Hinw.). In einem zweiten Schritt sind die hypothetischen Einsatzstrafen für die weiteren Taten zu bestimmen. Sodann ist die Gesamtstrafe durch angemessene Erhöhung der Einsatzstrafe (in Anwendung des Asperationsprinzips) zu bilden (BGE 144 IV 217 E. 3.5.1; 143 IV 145 E. 8.2.3; 142 IV 265 E. 2.4.3; BGE 136 IV 55 E. 5.8). Dabei beschränkt die höchste gesetzliche Mindeststrafe sämtlicher zu berücksichtigender Tatbestände  soweit nicht ausnahmsweise Strafmilderungsgründe deren ordentlichen Strafrahmen nach unten öffnen  den Strafrahmen bei der Gesamtstrafenbildung nach unten (BGE 144 IV 217 E. 3.5.1; 143 IV 145 E. 8.2.3 142 IV 265 E. 2.4.5; 134 IV 82 E. 8.2 je m.w. Hinw.).</w:t>
      </w:r>
    </w:p>
    <w:p>
      <w:r>
        <w:t>Die Anwendbarkeit von Art. 49 Abs. 1 StGB setzt voraus, dass für die zur Beurteilung stehenden Delikte im konkreten Fall gleichartige Strafen ausgefällt würden (BGE 144 IV 217 E. 3.3.- 3.5; 142 IV 265; 138 IV 120 E. 5.2 je m. Hinw.). Die Bildung einer Gesamtstrafe erfordert, «dass das Gericht die (hypothetischen) Einzelstrafen sämtlicher Delikte (zumindest gedanklich) gebildet hat» (BGE 144 IV 217 E. 3.5.1). Die Gesamtstrafenbildung beginnt demnach stets mit der Festsetzung der (konkreten) Einsatzstrafe (BGE 144 IV 217 E. 3.5.3; BGer 6B_986/2020 vom 6. Januar 2021). Dabei ist aber eine Gesamtbetrachtung zulässig, in deren Rahmen der sachliche Zusammenhang zwischen den Straftaten und die wiederholte Schädigung derselben Opfer bzw. Privatkläger berücksichtigt werden dürfen (BGer 6B_496/2020 vom 11. Januar 2021 E.3.4.2; 6B_112/2020 vom 7. Oktober 2020 E. 3.2 und 3.4, BGer). Eine Gesamtfreiheitsstrafe darf mithin ausgesprochen werden, wenn eine grosse Zahl von Einzeltaten zeitlich sowie sachlich eng miteinander verknüpft sind und eine blosse Geldstrafe bei keinem der in einem engen Zusammenhang stehenden Delikte geeignet ist, in genügendem Masse präventiv auf den Täter einzuwirken. Das gilt etwa, wenn der Beschuldigte durch eine «hartnäckige Delinquenz» eine «kriminelle Veranlagung [offenbart], die nach einer härteren Gangart verlangt» (BGer 6B_798/2021 vom 2. August 2022 E. 5.2; vgl. auch BGer 6B_691/2022 vom 17. Oktober 2022 E. 5.3.1; 6B_141/2021 vom 23. Juni 2021 E. 1.3.2; 6B_496/2020 vom 11. Januar 2021 E. 3.4.2; 6B:112/2020 vom 7. Oktober 2020 E. 2.2 und 2.4).</w:t>
      </w:r>
    </w:p>
    <w:p>
      <w:r>
        <w:t>Nach Art. 29 Abs. 1 BV hat jede Person in Verfahren vor Gerichts- und Verwaltungsinstanzen Anspruch auf Beurteilung innert angemessener Frist. Gemäss Art. 5 Abs. 1 StPO nehmen die Strafbehörden die Strafverfahren unverzüglich an die Hand und bringen sie ohne unbegründete Verzögerung zum Abschuss. Das Beschleunigungsgebot verpflichtet die Behörden, ein Strafverfahren mit der gebotenen Beförderung zu behandeln. Die Beurteilung der angemessenen Verfahrensdauer entzieht sich starren Regeln. Ob sich die Dauer als angemessen erweist, ist in jedem Einzelfall unter Würdigung aller konkreten Umstände zu prüfen (BGE 143 IV 373 E. 1.3 m.w.H.). Entscheidend sind etwa der Streitgegenstand und die damit verbundene Interessenlage, der Umfang und die Komplexität der aufgeworfenen Sachverhalts- und Rechtsfragen die Schwere des Tatvorwurfs, die dadurch gebotenen Untersuchungshandlungen, das Verhalten der beschuldigten Person und dasjenige der Behörden (z.B. unnötige Massnahmen oder Liegenlassen des Falls) sowie die Zumutbarkeit für die beschuldigte Person (BGE 130 I 269 E. 2.3 und 3.1; BGer 1B_549/2012 vom 12. November 2012 E. 2.3).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2. Aufl., Basel 2014, Art. 5 StPO N 14), wenn also das Verfahren respektive der Verfahrensabschnitt innert wesentlich kürzerer Zeit hätte abgeschlossen werden können (Schmid/Jositsch, Handbuch des schweizerischen Strafprozessrechts, 3. Aufl., Zürich 2017, Rz. 147). Das Beschleunigungsgebot kann auch dann verletzt sein, wenn die Strafverfolgungsbehörden keinerlei Fehler begangen haben (BGE 130 IV 54 E. 3.3.3).</w:t>
      </w:r>
    </w:p>
    <w:p>
      <w:r>
        <w:t>://:      Es wird festgestellt, dass folgende Punkte des Urteils des Strafgerichts vom 12. Oktober 2023 mangels Anfechtungin Rechtskraft erwachsensind:</w:t>
      </w:r>
    </w:p>
    <w:p>
      <w:r>
        <w:t>-     Schuldsprüche wegen mehrfachen Tätlichkeiten zum Nachteil von B____ und E____ (Anklage Ziff. I.2. und I.8.), mehrfacher Beschimpfung zum Nachteil von D____ (Anklage Ziff. I.3.), Sachbeschädigung (Anklage Ziff. I.5.) und mehrfacher Widerhandlung gegen das Übertretungsstrafgesetz des Kantons Basel-Stadt (Anklage Ziff. I.4. und I.8.) gemäss Art. 126 Abs. 1, 177 Abs. 1, 144 Abs. 1 des Strafgesetzbuches sowie § 5 Abs. 1 lit. b und 8 Abs. 1 des Übertretungsstrafgesetzes des Kantons Basel-Stadt;</w:t>
      </w:r>
    </w:p>
    <w:p>
      <w:r>
        <w:t>-     Verweisung der Forderung der [...] in Höhe von CHF 11'361.85 auf den Zivilweg;</w:t>
      </w:r>
    </w:p>
    <w:p>
      <w:r>
        <w:t>-     Entschädigung der amtlichen Verteidigung für das erstinstanzliche Verfahren.</w:t>
      </w:r>
    </w:p>
    <w:p>
      <w:r>
        <w:t>Die Berufung von A____ wird teilweise gutgeheissen.</w:t>
      </w:r>
    </w:p>
    <w:p>
      <w:r>
        <w:t>A____ wird  neben den bereits rechtskräftig gewordenen Schuldsprüchen wegen mehrfachen Tätlichkeiten, mehrfacher Beschimpfung, Sachbeschädigung und mehrfacher Widerhandlung gegen das Übertretungsstrafgesetz des Kantons Basel-Stadt  der einfachen Körperverletzung (leichter Fall), der Sachentziehung, der Sachbeschädigung, des Hausfriedensbruchs, der mehrfachen teilweise versuchten Drohung und der Tätlichkeiten schuldig erklärt. Er wird verurteilt zu7 Monaten Freiheitsstrafeund zu einerGeldstrafe von 10 Tagessätzen zu CHF 20., jeweils mit bedingtem Strafvollzug, unter Auferlegung einer Probezeit von jeweils 2 Jahren, sowie zu einerBusse von CHF 800., (bei schuldhafter Nichtbezahlung 8 Tage Ersatzfreiheitsstrafe),</w:t>
      </w:r>
    </w:p>
    <w:p>
      <w:r>
        <w:t>in Anwendung von Art. 123 Ziff. 1 Abs. 2 (alte Fassung), 141, 144 Abs. 1, 186, 180 teilw. i.V.m. 22 Abs. 1 und 126 Abs. 1 sowie Art. 42 Abs. 1, 44 Abs. 1, 49 Abs. 1 und 106 des Strafgesetzbuches.</w:t>
      </w:r>
    </w:p>
    <w:p>
      <w:r>
        <w:t>A____ trägt die Kosten von CHF 2'178. und eine Urteilsgebühr von CHF 1'800. für das erstinstanzliche Verfahren sowie die Kosten des zweitinstanzlichen Verfahrens mit Einschluss einer Urteilsgebühr von CHF 1'200. (inkl. Kanzleiauslagen, zuzüglich allfällige übrige Auslagen)</w:t>
      </w:r>
    </w:p>
    <w:p>
      <w:r>
        <w:t>In Bezug auf die in Rechtskraft erwachsene Entschädigung der amtlichen Verteidigung für das erstinstanzliche Verfahren bleibt Art. 135 Abs. 4 der Strafprozessordnung vorbehalten.</w:t>
      </w:r>
    </w:p>
    <w:p>
      <w:r>
        <w:t>APPELLATIONSGERICHT BASEL-STADT</w:t>
      </w:r>
    </w:p>
    <w:p>
      <w:r>
        <w:t>Die Präsidentin                                                  Die Gerichtsschreiberin</w:t>
      </w:r>
    </w:p>
    <w:p>
      <w:r>
        <w:t>lic. iur. Eva Christ                                              MLaw Stephanie von Sprecher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