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SB.2023.3 vom 23. April 2024</w:t>
      </w:r>
    </w:p>
    <w:p>
      <w:r>
        <w:t>BS Appellationsgericht, 2024-04-23, DE</w:t>
      </w:r>
    </w:p>
    <w:p>
      <w:r>
        <w:rPr>
          <w:b/>
        </w:rPr>
        <w:t xml:space="preserve">Quelle: </w:t>
      </w:r>
      <w:r>
        <w:t>https://mcp.opencaselaw.ch/entscheid/bs_appellationsgericht_SB.2023.3</w:t>
      </w:r>
    </w:p>
    <w:p>
      <w:r>
        <w:t>FR: BS_APPELLATIONSGERICHT SB.2023.3 du 23 avril 2024</w:t>
      </w:r>
    </w:p>
    <w:p>
      <w:r>
        <w:t>IT: BS_APPELLATIONSGERICHT SB.2023.3 del 23 aprile 2024</w:t>
      </w:r>
    </w:p>
    <w:p>
      <w:pPr>
        <w:pStyle w:val="Heading2"/>
      </w:pPr>
      <w:r>
        <w:t>Erwägungen</w:t>
      </w:r>
    </w:p>
    <w:p>
      <w:r>
        <w:rPr>
          <w:b/>
        </w:rPr>
        <w:t>E. 3</w:t>
      </w:r>
    </w:p>
    <w:p>
      <w:r>
        <w:t>Aufl., Zürich 2020, Art. 10 N 11). Konkret bedeutet das,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jeweils mit Hinweisen).</w:t>
      </w:r>
    </w:p>
    <w:p>
      <w:r>
        <w:t>Nach dem Grundsatz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auchWohlers, a.a.O., Art. 10 StPO N 25 und 31). Solange das Sachgericht den Standards der Beweiswürdigung folgt, hat es dabei einen weiten Ermessensspielraum (in BGE 143 IV 214 nicht publ. E. 13.1 des BGer 6B_824/2016 vom 10. April 2017, BGer 6B_547/2014 vom 21. 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jeweils mit Hinweisen).</w:t>
      </w:r>
    </w:p>
    <w:p>
      <w:r>
        <w:t>Nachfolgend ist in Berücksichtigung dieser Grundsätze zu prüfen, ob und inwiefern sich namentlich die vorinstanzliche Sachverhaltsfeststellung bestätigen lässt.</w:t>
      </w:r>
    </w:p>
    <w:p>
      <w:r>
        <w:t>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BGer 6B_1006/2017 vom 24. Oktober 2018 E. 2.3.3; 6B_760/2010 vom 13. Dezember 2010 E. 2.3; vgl. auchHaas, Ein Vorschlag zur methodischen Aktualisierung der Beweiswürdigung in aussagenpsychologischen Gutachten, in: «Kriminalistik»10/2022, S. 567 ff., Ziff. 3.3). Damit eine Aussage als zuverlässig erachtet werden kann, ist sie besonders auf das Vorhandensein von Real- bzw. Realitätskriterien und umgekehrt auf das Fehlen von Phantasiesignalen zu überprüfen (vgl.Ludewig/Baumer/Tavor, a.a.O., S. 46 ff.;Wiprächtiger, Aussagepsychologische Begutachtung im Strafrecht, forumpoenale 2010 S. 40 f.;Dittmann,Zur Glaubhaftigkeit von Zeugenaussagen, in: plädoyer 2/1997 S. 33 ff.;Zweidler, a.a.O., S.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mit Hinweisen).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mit Hinweis auf 129 I 49 E. 5 und 128 I 81 E. 2 und auf Literatur; BGer 6B_542/2019 vom 28. August 2019 E.2.3.1; kritisch zur Fokussierung auf die Unwahrhypothese und für eine Analyse von einer neutralen Ausgangsposition her:Haas, a.a.O., S. 567 ff.). In jedem Fall sind gegenüber den Realitätskriterien auch mögliche Anhaltspunkte für eine Falschbezichtigung abzuwägen (vgl.Dittmann,a.a.O., S. 34 f.).</w:t>
      </w:r>
    </w:p>
    <w:p>
      <w:r>
        <w:t>7.2.2.1Die Privatklägerin hat sich sowohl als Straf- als auch als Zivilkläger am vorliegenden Verfahren beteiligt. Gemäss Art. 433 Abs. 1 lit. a StPO hat die Privatklägerschaft gegenüber der beschuldigten Person Anspruch auf angemessene Entschädigung für notwendige Aufwendungen im Verfahren, wenn sie obsiegt. Ein Obsiegen liegt im Falle einer Teilnahme als Strafklägerin dann vor, wenn es zu einer Verurteilung der beschuldigten Person kommt; als Zivilklägerin, wenn die Privatklägerin im Zivilpunkt obsiegt (Griesser, in: Donatsch et al. [Hrsg.], Kommentar zur Schweizerischen Strafprozessordnung, 3. Aufl., Zürich 2020, Art. 433 N 1). Grundsätzlich ebenfalls als Obsiegen zu werten ist dabei eine zumindest dem Grundsatz nach gutgeheissene Zivilklage im Sinne von Art. 126 Abs. 3 StPO (Wehrenberg/Frank, in: Basler Kommentar, 3. Aufl. 2023, Art. 433 StPO N 13). Die Aufwendungen im Sinne von Art. 433 Abs. 1 StPO betreffen in erster Linie die Anwaltskosten, soweit diese durch die Beteiligung am Strafverfahren selbst verursacht wurden und für die Wahrung der Interessen der Privatklägerschaft notwendig waren (BGE 139 IV 102 E. 4.1).</w:t>
      </w:r>
    </w:p>
    <w:p>
      <w:r>
        <w:t>7.2.2.2Die Vertretung der Privatklägerin machte vor erster Instanz einen Aufwand von insgesamt 17 Stunden und 40 Minuten zuzüglich den Aufwand für die erstinstanzliche Hauptverhandlung zum Ansatz von CHF 250. bzw. CHF 200. sowie Auslagen von CHF 96.95  alles unter Berücksichtigung der MWST  geltend (vgl. Akten S. 213 ff.; angefochtenes Urteil E. V). Dieser Aufwand erscheint für das vorliegende Verfahren als angemessen. Sodann wurde der Berufungskläger vorliegend im Strafpunkt wegen fahrlässiger Körperverletzung verurteilt und die Zivilforderung der Privatklägerin auf den Zivilweg verwiesen. Es ist vor diesem Hintergrund nicht zu beanstanden und von der Privatklägerin denn auch nicht bestritten worden, dass die Vorinstanz die geltend gemachte Parteientschädigung auf den Teil des Strafverfahrens beschränkte und das Honorar mithin von CHF 4'609.65 um CHF 3'109.65 reduzierte. In Übereinstimmung mit der Vorinstanz ist der Privatklägerin somit für das erstinstanzliche Verfahren zu Lasten des Berufungsklägers eine Parteientschädigung von CHF 1'500. (inkl. MWST und Auslagen) zuzusprechen.</w:t>
      </w:r>
    </w:p>
    <w:p>
      <w:r>
        <w:t>7.2.2.3Ansprüche auf Entschädigung und Genugtuung im Rechtsmittelverfahren richten sich nach den Artikeln 429 bis 434 StPO (Art. 436 Abs. 1 StPO). Im Berufungsverfahren hat die Privatklägerin beantragt, die Berufung des Berufungsklägers sei vollumfänglich abzuweisen. Damit obsiegt die Privatklägerin im Rechtsmittelverfahren vollumfänglich und der Berufungskläger ist gemäss Art. 436 Abs. 1 i.V.m. 433 Abs. 1 StPO zur Zahlung einer Parteientschädigung an sie zu verurteilen. Der von der Vertretung der Privatklägerin für das Berufungsverfahren geltend gemachte Aufwand von 13 Stunden und 5 Minuten zum Ansatz von CHF 250. bzw. CHF 200. sowie Auslagen von CHF 86.40 zuzüglich MWST von 7,7%, insgesamt also CHF 3'193.80 (Akten S. 333 ff.), erscheinen angemessen und für die Wahrung der Interessen der Privatklägerin auch als notwendig. Für den genauen Betrag wird auf das Dispositiv verwiesen.</w:t>
      </w:r>
    </w:p>
    <w:p>
      <w:r>
        <w:t>://:        Die Berufung wird abgewiesen.</w:t>
      </w:r>
    </w:p>
    <w:p>
      <w:r>
        <w:t>A____wird der fahrlässigen Körperverletzung schuldig erklärt. Er wird verurteilt zu einer Geldstrafe von20 Tagessätzen zu CHF 50., als Zusatzstrafe zum Urteil der Staatsanwaltschaft Rheinfelden-Laufenburg vom 2. August 2022, in Anwendung von Art. 125 Abs. 1 sowie 49 Abs. 2 des Strafgesetzbuches.</w:t>
      </w:r>
    </w:p>
    <w:p>
      <w:r>
        <w:t>Der beigebrachte Schuh (Posten BS-200725) wird nach Rechtskraft des Urteils an die Privatklägerin zurückgegeben.</w:t>
      </w:r>
    </w:p>
    <w:p>
      <w:r>
        <w:t>Die Zivilforderung der Privatklägerin wird auf den Zivilweg verwiesen.</w:t>
      </w:r>
    </w:p>
    <w:p>
      <w:r>
        <w:t>A____ trägt die Verfahrenskosten im Betrage von CHF 1'070.60 sowie eine Urteilsgebühr von CHF 1'000. für das erstinstanzliche Verfahren sowie die Kosten des zweitinstanzlichen Verfahrens mit Einschluss einer Urteilsgebühr von CHF 1'000. (inkl. Kanzleiauslagen, zuzüglich allfällige übrige Auslagen).</w:t>
      </w:r>
    </w:p>
    <w:p>
      <w:r>
        <w:t>Der Antrag des Berufungsklägers auf Ausrichtung einer Parteientschädigung wird abgewiesen.</w:t>
      </w:r>
    </w:p>
    <w:p>
      <w:r>
        <w:t>Der Privatklägerin wird gemäss Art. 433 Abs. 1 der Strafprozessordnung zu Lasten des Beschuldigten für das erstinstanzliche Verfahren eine (reduzierte) Parteientschädigung von CHF 1'500. (inklusive Mehrwertsteuer und Auslagen) zugesprochen. Die Mehrforderung wird abgewiesen.</w:t>
      </w:r>
    </w:p>
    <w:p>
      <w:r>
        <w:t>Der Privatklägerin wird gemäss Art. 436 Abs. 1 i.V.m. 433 Abs. 1 der Strafprozessordnung zu Lasten des Berufungsklägers für das zweitinstanzliche Verfahren eine Parteientschädigung von CHF 3'193.80 (inklusive Mehrwertsteuer und Auslagen) zugesprochen.</w:t>
      </w:r>
    </w:p>
    <w:p>
      <w:r>
        <w:t>Mitteilung an:</w:t>
      </w:r>
    </w:p>
    <w:p>
      <w:r>
        <w:t>Sowie nach Rechtskraft des Urteils:</w:t>
      </w:r>
    </w:p>
    <w:p>
      <w:r>
        <w:t>APPELLATIONSGERICHT BASEL-STADT</w:t>
      </w:r>
    </w:p>
    <w:p>
      <w:r>
        <w:t>Die Präsidentin                                                         Der Gerichtsschreiber</w:t>
      </w:r>
    </w:p>
    <w:p>
      <w:r>
        <w:t>lic. iur. Eva Christ                                                      Dr. Nicola Inglese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