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SB.2022.7 vom 10. November 2022</w:t>
      </w:r>
    </w:p>
    <w:p>
      <w:r>
        <w:t>BS Appellationsgericht, 2022-11-10, DE</w:t>
      </w:r>
    </w:p>
    <w:p>
      <w:r>
        <w:rPr>
          <w:b/>
        </w:rPr>
        <w:t xml:space="preserve">Quelle: </w:t>
      </w:r>
      <w:r>
        <w:t>https://mcp.opencaselaw.ch/entscheid/bs_appellationsgericht_SB.2022.7</w:t>
      </w:r>
    </w:p>
    <w:p>
      <w:r>
        <w:t>FR: BS_APPELLATIONSGERICHT SB.2022.7 du 10 novembre 2022</w:t>
      </w:r>
    </w:p>
    <w:p>
      <w:r>
        <w:t>IT: BS_APPELLATIONSGERICHT SB.2022.7 del 10 novembre 2022</w:t>
      </w:r>
    </w:p>
    <w:p>
      <w:pPr>
        <w:pStyle w:val="Heading2"/>
      </w:pPr>
      <w:r>
        <w:t>Erwägungen</w:t>
      </w:r>
    </w:p>
    <w:p>
      <w:r>
        <w:rPr>
          <w:b/>
        </w:rPr>
        <w:t>E. 2</w:t>
      </w:r>
    </w:p>
    <w:p>
      <w:r>
        <w:t>Vorbemerkung</w:t>
      </w:r>
    </w:p>
    <w:p>
      <w:r>
        <w:t>3.       Tatsächliches</w:t>
      </w:r>
    </w:p>
    <w:p>
      <w:r>
        <w:t>3.1     Ausgangslage</w:t>
      </w:r>
    </w:p>
    <w:p>
      <w:r>
        <w:t>3.2     Grundlagen</w:t>
      </w:r>
    </w:p>
    <w:p>
      <w:r>
        <w:t>3.3     Aussagen der Privatklägerin</w:t>
      </w:r>
    </w:p>
    <w:p>
      <w:r>
        <w:t>3.4     Aussagen des Berufungsklägers</w:t>
      </w:r>
    </w:p>
    <w:p>
      <w:r>
        <w:t>3.5     Weitere Beweismittel</w:t>
      </w:r>
    </w:p>
    <w:p>
      <w:r>
        <w:t>3.6     Würdigung</w:t>
      </w:r>
    </w:p>
    <w:p>
      <w:r>
        <w:t>4.       Rechtliches</w:t>
      </w:r>
    </w:p>
    <w:p>
      <w:r>
        <w:t>4.1     Tatbestand der sexuellen Handlungen mit Kindern (Art. 187 StGB)</w:t>
      </w:r>
    </w:p>
    <w:p>
      <w:r>
        <w:t>4.2     Tatbestand der sexuellen Nötigung (Art. 189 StGB)</w:t>
      </w:r>
    </w:p>
    <w:p>
      <w:r>
        <w:t>5.       Strafzumessung</w:t>
      </w:r>
    </w:p>
    <w:p>
      <w:r>
        <w:t>5.1     Grundlagen</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5.2     Ausgangslage, systematisches Vorgehen</w:t>
      </w:r>
    </w:p>
    <w:p>
      <w:r>
        <w:t>5.3     Grundsätzliches zum Verschulden</w:t>
      </w:r>
    </w:p>
    <w:p>
      <w:r>
        <w:t>5.4     Einsatzstrafe</w:t>
      </w:r>
    </w:p>
    <w:p>
      <w:r>
        <w:t>5.5     Bildung der Gesamtstrafe (Art. 49 Abs. 1 StGB)</w:t>
      </w:r>
    </w:p>
    <w:p>
      <w:r>
        <w:t>5.6     Persönliche Verhältnisse</w:t>
      </w:r>
    </w:p>
    <w:p>
      <w:r>
        <w:t>5.7     Modalitäten des Vollzugs/Anrechnung bereits ausgestandener Haft</w:t>
      </w:r>
    </w:p>
    <w:p>
      <w:r>
        <w:t>6.       Landesverweisung</w:t>
      </w:r>
    </w:p>
    <w:p>
      <w:r>
        <w:t>6.1     Ausgangslage</w:t>
      </w:r>
    </w:p>
    <w:p>
      <w:r>
        <w:t>6.2     Grundlagen</w:t>
      </w:r>
    </w:p>
    <w:p>
      <w:r>
        <w:t>6.2.1Von der Anordnung der Landesverweisung kann nur «ausnahmsweise» unter zwei kumulativen Voraussetzungen abgesehen werden. Es ist einerseits zu prüfen, ob die Landesverweisung einen schweren persönlichen Härtefall bewirken würde. Andererseits ist zu fragen, ob die öffentlichen Interessen an der Landesverweisung gegenüber den privaten Interessen des Berufungsklägers am Verbleib in der Schweiz überwiegen (vgl. dazu E. 6.3). Schliesslich ist gegebenenfalls zu prüfen, ob völkerrechtliche Vorgaben der Landesverweisung entgegenstehen (vgl. dazu E. 6.4; vgl. zum PrüfprogrammDe Weck, in: Spescha/Zünd/Bolzli/Hruschka/de Weck/Priuli [Hrsg.], Kommentar Migrationsrecht, 5. Auflage, Zürich 2019, Art. 66a StGB N 34).</w:t>
      </w:r>
    </w:p>
    <w:p>
      <w:r>
        <w:t>6.2.2Die Härtefallklausel dient der Umsetzung des Verhältnismässigkeitsprinzips (vgl. Art. 5 Abs. 2 BV;BGE 144 IV 332E. 3.1.2, 3.3.1; BGer 6B_1070/2018 vom 14. August 2019 E. 6.2.2). Sie ist restriktiv anzuwenden (BGE 144 IV 332E. 3.3.1). Nach der bundesgerichtlichen Rechtsprechung lässt sich zur kriteriengeleiteten Prüfung des Härtefalls im Sinne von Art. 66aAbs. 2 StGB der migrationsrechtliche Kriterienkatalog der Bestimmung über den «schwerwiegenden persönlichen Härtefall» in Art. 31 Abs. 1 der Verordnung vom 24. Oktober 2007 über Zulassung, Aufenthalt und Erwerbstätigkeit (VZAE; SR 142.201) heranziehen, wenn auch nicht unbesehen übernehmen (BGE 144 IV 332 E. 3.3.2; BGer 6B_627/2018 vom 22. März 2019 E. 1.3.5, 6B_689/2019 vom 25. Oktober 2019 E. 1.7). Zu berücksichtigen sind namentlich der Grad der (persönlichen und wirtschaftlichen) Integration, die Familienverhältnisse, unter Berücksichtigung der Schulsituation der Kinder, die finanziellen Verhältnisse, die Dauer der Anwesenheit in der Schweiz, der Gesundheitszustand und die Möglichkeiten für eine Wiedereingliederung im Heimatstaat. Weiter sind strafrechtliche Elemente zu berücksichtigen, namentlich ist Rückfallgefahr, wiederholter Delinquenz und den Resozialisierungschancen Rechnung zu tragen (BGer 6B_873/2018 vom 15. Februar 2019 E. 3.1; De Weck, a.a.O. Art. 66a StGB N 21).</w:t>
      </w:r>
    </w:p>
    <w:p>
      <w:r>
        <w:t>6.3     Würdigung für den vorliegenden Fall</w:t>
      </w:r>
    </w:p>
    <w:p>
      <w:r>
        <w:t>6.4     Anwendbarkeit des FZA</w:t>
      </w:r>
    </w:p>
    <w:p>
      <w:r>
        <w:t>6.5     Dauer der Massnahme/Eintrag im Schengener Informationssystem</w:t>
      </w:r>
    </w:p>
    <w:p>
      <w:r>
        <w:t>7.       Zivilforderungen</w:t>
      </w:r>
    </w:p>
    <w:p>
      <w:r>
        <w:t>7.1     Schadenersatzforderung der Opferhilfe beider Basel</w:t>
      </w:r>
    </w:p>
    <w:p>
      <w:r>
        <w:t>7.2     Genugtuungsforderung der Privatklägerin</w:t>
      </w:r>
    </w:p>
    <w:p>
      <w:r>
        <w:t>8.       Kostenfolgen</w:t>
      </w:r>
    </w:p>
    <w:p>
      <w:r>
        <w:t>8.1     Erstinstanzliche Kosten</w:t>
      </w:r>
    </w:p>
    <w:p>
      <w:r>
        <w:t>8.1.1Die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8.1.2Da A____ auch im Berufungsverfahren wegen mehrfacher sexueller Nötigung und mehrfacher sexuellen Handlungen mit Kindern schuldig gesprochen wird, sind die erstinstanzlichen Verfahrenskosten zu belassen. Demgemäss trägt der Berufungskläger für das erstinstanzliche Verfahren Kosten in Höhe von CHF 2322.70 und eine Urteilsgebühr von CHF 10000.‒.</w:t>
      </w:r>
    </w:p>
    <w:p>
      <w:r>
        <w:t>8.1.3Da der Berufungskläger die vollen erstinstanzlichen Verfahrenskosten trägt, bleibt Art. 135 Abs. 4 StPO in Bezug auf die in Rechtskraft erwachsene Entschädigung der amtlichen Verteidigung für das erstinstanzliche Verfahren im Umfang von 100 % vorbehalten.</w:t>
      </w:r>
    </w:p>
    <w:p>
      <w:r>
        <w:t>8.2     Kosten des Rechtsmittelverfahrens</w:t>
      </w:r>
    </w:p>
    <w:p>
      <w:r>
        <w:t>8.2.1Für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8.2.2Der Berufungskläger unterliegt mit seiner Berufung vollumfänglich, weswegen ihm die Kosten des zweitinstanzlichen Verfahrens mit Einschluss einer Urteilsgebühr von CHF 2500. (inklusive Kanzleiauslagen, zuzüglich allfälliger übriger Auslagen) auferlegt werden (Art. 428 Abs. 1 StPO in Verbindung mit § 21 Abs. 1 des Gerichtsgebührenreglements [GGR, SG 154.810]).</w:t>
      </w:r>
    </w:p>
    <w:p>
      <w:r>
        <w:t>9.       Entschädigungsfolgen</w:t>
      </w:r>
    </w:p>
    <w:p>
      <w:r>
        <w:t>9.1     Entschädigung der amtlichen Verteidigung</w:t>
      </w:r>
    </w:p>
    <w:p>
      <w:r>
        <w:t>9.2     Entschädigung der unentgeltlichen Vertreterin der Privatklägerin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