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SB.2022.69 vom 17. April 2024</w:t>
      </w:r>
    </w:p>
    <w:p>
      <w:r>
        <w:t>BS Appellationsgericht, 2024-04-17, DE</w:t>
      </w:r>
    </w:p>
    <w:p>
      <w:r>
        <w:rPr>
          <w:b/>
        </w:rPr>
        <w:t xml:space="preserve">Quelle: </w:t>
      </w:r>
      <w:r>
        <w:t>https://mcp.opencaselaw.ch/entscheid/bs_appellationsgericht_SB.2022.69</w:t>
      </w:r>
    </w:p>
    <w:p>
      <w:r>
        <w:t>FR: BS_APPELLATIONSGERICHT SB.2022.69 du 17 avril 2024</w:t>
      </w:r>
    </w:p>
    <w:p>
      <w:r>
        <w:t>IT: BS_APPELLATIONSGERICHT SB.2022.69 del 17 aprile 2024</w:t>
      </w:r>
    </w:p>
    <w:p>
      <w:pPr>
        <w:pStyle w:val="Heading2"/>
      </w:pPr>
      <w:r>
        <w:t>Volltext</w:t>
      </w:r>
    </w:p>
    <w:p>
      <w:r>
        <w:t>Appellationsgericht</w:t>
      </w:r>
    </w:p>
    <w:p>
      <w:r>
        <w:t>des Kantons Basel-Stadt</w:t>
      </w:r>
    </w:p>
    <w:p>
      <w:r>
        <w:t>Dreiergericht</w:t>
      </w:r>
    </w:p>
    <w:p>
      <w:r>
        <w:t>SB.2022.69</w:t>
      </w:r>
    </w:p>
    <w:p>
      <w:r>
        <w:t>URTEIL</w:t>
      </w:r>
    </w:p>
    <w:p>
      <w:r>
        <w:t>vom17. April 2024</w:t>
      </w:r>
    </w:p>
    <w:p>
      <w:r>
        <w:t>Mitwirkende</w:t>
      </w:r>
    </w:p>
    <w:p>
      <w:r>
        <w:t>lic. iur. Eva Christ (Vorsitz),</w:t>
      </w:r>
    </w:p>
    <w:p>
      <w:r>
        <w:t>Prof. Dr. Daniela Thurnherr Keller, MLaw Manuel Kreis</w:t>
      </w:r>
    </w:p>
    <w:p>
      <w:r>
        <w:t>und Gerichtsschreiber MLaw Martin Manyoki</w:t>
      </w:r>
    </w:p>
    <w:p>
      <w:r>
        <w:t>Beteiligte</w:t>
      </w:r>
    </w:p>
    <w:p>
      <w:r>
        <w:t>Staatsanwaltschaft Basel-StadtBerufungsklägerin</w:t>
      </w:r>
    </w:p>
    <w:p>
      <w:r>
        <w:t>Binningerstrasse 21, 4001 Basel</w:t>
      </w:r>
    </w:p>
    <w:p>
      <w:r>
        <w:t>gegen</w:t>
      </w:r>
    </w:p>
    <w:p>
      <w:r>
        <w:t>A____, geb. [...] Berufungsbeklagte</w:t>
      </w:r>
    </w:p>
    <w:p>
      <w:r>
        <w:t>[...] Beschuldigter</w:t>
      </w:r>
    </w:p>
    <w:p>
      <w:r>
        <w:t>vertreten durch [...], Advokat,</w:t>
      </w:r>
    </w:p>
    <w:p>
      <w:r>
        <w:t>[...]</w:t>
      </w:r>
    </w:p>
    <w:p>
      <w:r>
        <w:t>Gegenstand</w:t>
      </w:r>
    </w:p>
    <w:p>
      <w:r>
        <w:t>Berufunggegen ein Urteil des Einzelgerichts in Strafsachen</w:t>
      </w:r>
    </w:p>
    <w:p>
      <w:r>
        <w:t>vom 31. Mai 2022 (SG.2022.37)</w:t>
      </w:r>
    </w:p>
    <w:p>
      <w:r>
        <w:t>betreffend Freispruch von der Anklage des Betrugs und des mehrfachen</w:t>
      </w:r>
    </w:p>
    <w:p>
      <w:r>
        <w:t>unrechtmässigen Bezugs von Leistungen einer Sozialversicherung oder</w:t>
      </w:r>
    </w:p>
    <w:p>
      <w:r>
        <w:t>der Sozialhilfe</w:t>
      </w:r>
    </w:p>
    <w:p>
      <w:r>
        <w:t>4.1.2.2Gestützt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die vom Täuschungsangriff betroffene Person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der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4.1.6Der Tatbestand des Betrugs durch aktives Tun ist damit vorliegend erfüllt.</w:t>
      </w:r>
    </w:p>
    <w:p>
      <w:r>
        <w:t>5.5Die Beschuldigte ist im Jahr 1987 in Basel, wo sie auch zurzeit zusammen mit ihrem Ehemann und ihrem Sohn wohnt, geboren und aufgewachsen (Akten S. 6, 105). Sie hat eine Tochter aus einer früheren Beziehung, die fremdplatziert ist. Die Beschuldigte verfügt über keine abgeschlossene berufliche Ausbildung. Nach der obligatorischen Schulzeit arbeitete sie in verschiedenen Unternehmen als Verkäuferin; zuletzt arbeitete sie in einem Callcenter (Akten S. 4, 249). Sie leidet an Schizophrenie; dagegen nimmt sie jedoch Medikamente ein und ist laut eigenen Aussagen stabil (vgl. Akten S. 5, 218, 250). Im März 2022 war sie im Zusammenhang mit ihrer Krankheit jedoch während einigen Tagen hospitalisiert (Akten S. 100). Aufgrund ihrer Erkrankung erhält die Beschuldigte eine 50-prozentige IV-Rente (Akten S. 4). Hinzu kommen Ergänzungsleistungen in der Höhe von CHF 1'460. (Akten S. 250). Negativ ins Gewicht fallen ihre Schulden (Separatbeilagen S. 177; Akten S. 20, 105). Sie macht geltend, diese hingen mit ihrer Krankheit zusammen, sie leide an einer Kaufsucht. Sie sei deswegen aber in Behandlung und bestrebt, dass keine weiteren Schulden mehr anwachsen. Der Ehemann der Beschuldigten arbeitet als Lagerist und verdient CHF 3'875. brutto bzw. CHF 3'450. netto.</w:t>
      </w:r>
    </w:p>
    <w:p>
      <w:r>
        <w:t>Die Vorstrafenlosigkeit der Beschuldigten wirkt sich neutral aus (BGE 136 IV I E. 2.6). Sie anerkennt, im Jahr 2021 zu Unrecht Ergänzungsleistungen bezogen zu haben und nimmt monatliche Rückzahlungen vor (Akten S. 102, 250). Dieser Umstand fällt jedoch kaum positiv ins Gewicht, da die Beweislage diesbezüglich erdrückend ist. Im Ergebnis wirken sich die Täterkomponenten weder zu Gunsten noch zu Lasten der Beschuldigten aus.</w:t>
      </w:r>
    </w:p>
    <w:p>
      <w:r>
        <w:t>Daraus ergeht, dass die Beschuldigte nichts zu ihren Gunsten aus den Umständen ableiten kann, die zu einer vergleichsweise milden Bestrafung geführt haben.</w:t>
      </w:r>
    </w:p>
    <w:p>
      <w:r>
        <w:t>6.26.2.1Von der Landesverweisung kann nur «ausnahmsweise» unter den kumulativen Voraussetzungen abgesehen werden, dass sie (1.) einen schweren persönlichen Härtefall bewirken würde und (2.) die öffentlichen Interessen an der Landesverweisung gegenüber den privaten Interessen der Ausländerin am Verbleib in der Schweiz nicht überwiegen. Dabei ist der besonderen Situation von ausländischen Personen Rechnung zu tragen, die in der Schweiz geboren oder aufgewachsen sind (Art. 66a Abs. 2 StGB; sog. Härtefallklausel).</w:t>
      </w:r>
    </w:p>
    <w:p>
      <w:r>
        <w:t>6.2.2Die Härtefallklausel dient der Umsetzung des Verhältnismässigkeitsprinzips (vgl. Art. 5 Abs. 2 BV; BGE 146 IV 105 E. 3.4.2, 145 IV 364 E. 3.2, 144 IV 332 E. 3.1.2, je mit Hinweisen). Sie ist restriktiv anzuwenden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der Ausländerin in der Schweiz und in der Heimat, Aufenthaltsdauer und Resozialisierungschancen. Ebenso ist der Rückfallgefahr und wiederholter Delinquenz Rechnung zu tragen, wobei das Gericht auch vor dem Inkrafttreten von Art. 66a StGB begangene Straftaten berücksichtigen darf (BGE 146 IV 105 E. 3.4.2, 144 IV 332 E. 3.3.2; BGer 6B_149/2021 vom 3. Februar 2022 E. 2.3.2, 6B_759/2021 vom 16. Dezember 2021 E. 4.2.2). Nicht zu übersehen ist, dass die strafrechtliche Landesverweisung nach dem Willen des Gesetzgebers zu einer klaren Verschärfung der ausländerrechtlichen Ausweisungspraxis führt (zum Ganzen: BGer 6B_1156/2021 vom 26. August 2022 E. 5.3.1, 6B_1044/2019 vom 17. Februar 2020, 6B_1070/2018 vom 14. August 2019 E. 6.2.2; vgl. auch BGE 145 IV 55 E. 4.3).</w:t>
      </w:r>
    </w:p>
    <w:p>
      <w:r>
        <w:t>6.2.3Von einem schweren persönlichen Härtefall im Sinne von Art. 66a Abs. 2 StGB ist in der Regel bei einem Eingriff von einer gewissen Tragweite in den Anspruch der Ausländerin auf das in Art. 13 BV und Art. 8 EMRK verankerte Recht auf Achtung des Privat- und Familienlebens auszugehen (BGer 6B_205/2020 vom 5. Februar 2021 E. 2.3.3; 6B_548/2020 vom 4. Februar 2021 E. 5.4.1,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das heisst die Gemeinschaft der Ehegatten mit ihren minderjährigen Kindern (BGE 147 I 268 E. 1.2.3, 145 I 227 E. 5.3, 144 I 1 E. 6.1; BGer 6B_205/2020 vom 5. Februar 2021 E. 2.3.3, 6B_548/2020 vom 4. Februar 2021 E. 5.4.1, je mit Hinweisen).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(BGE 144 II 1 E. 6.1; BGer 6B_149/2021 vom 3. Februar 2022 E. 2.3.3, 6B_548/2020 vom 4. Februar 2021 E. 5.4.1, 6B_1260/2019 vom 12. November 2020 E. 4.1; je mit Hinweisen).</w:t>
      </w:r>
    </w:p>
    <w:p>
      <w:r>
        <w:t>6.2.4Gemäss der neueren ausländerrechtlichen Rechtsprechung ist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übriglassen (BGE 144 I 266 E. 3.9; BGer 6B_2/2019 vom 27. September 2019 E. 7.2.1, 8.5; 6B_131/2019 vom 27. September 2019 E. 2.5.5, 6B_48/2019 vom 9. August 2019 E. 2.6). In diesem Zusammenhang gilt, wie das Bundesgericht betont: «Die Landesverweisung wird überwiegend eine Härte bewirken. Sie ist denn auch eine strafrechtliche Massnahme, die nach der Zielsetzung des Gesetzgebers primär als sichernde Massnahme zu verstehen ist. Ihre causa liegt in der Delinquenz der betroffenen Person selber. Ein langjähriger Aufenthalt in der Schweiz oder familiäre oder private Verhältnisse bilden keinen Freipass für Straftaten [] » (BGer 6B_48/2019 vom 9. August 2019 E. 2.6, 6B_627/2018 vom 22. März 2019 E. 1.3.2, E. 1.4). So ist denn selbst bei ausländischen Personen,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 beispielsweise aufgrund eines Schulbesuchs in der Schweiz  in aller Regel als starkes Indiz für das Vorliegen von genügend starken privaten Interessen und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(BGE 146 IV 105 E. 3.4.4).</w:t>
      </w:r>
    </w:p>
    <w:p>
      <w:r>
        <w:t>6.2.5Allgemein ist unter dem Titel der Integration neben familiären und sonstigen privaten Beziehungen vor allem zu berücksichtigen, ob die ausländische Person in beruflicher und finanzieller Hinsicht in der Schweiz gut verankert ist und ob sie die an ihrem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6.36.3.16.3.1.1Mit Hinweis auf das im Rahmen der persönlichen Verhältnisse bei der Strafzumessung bereits Erwogene (vgl. dazu E. 5.5) ist festzuhalten, dass die Beschuldigte in Basel geboren und aufgewachsen ist und sämtliche Schulen (Primarschule, damalige WBS, 10. Schuljahr) in der Schweiz durchlaufen hat. Sie hat verschiedene Ausbildungen angefangen, aber nicht abgeschlossen (Akten S. 4), dennoch aber früher an verschiedenen Stellen gearbeitet ([...], Supermarkt, Babyartikelgeschäft) und sie spricht einwandfrei Deutsch bzw. Dialekt (vgl. Audioprotokoll Hauptverhandlung Strafgericht und Audioprotokoll Berufungsverfahren). Ihre Geschwister, Eltern, ihre Tochter und weitere Verwandte leben ebenfalls in der näheren Umgebung und unterstützen sie zum Teil (vgl. Akten S. 6 f., 105). Die Beschuldigte ist hoch verschuldet, wobei sie geltend macht, dies stehe im Zusammenhang mit einer Kaufsucht (siehe oben E. 5.5). Inzwischen wohnen auch der Ehemann und das jüngere Kind mit der Beschuldigten zusammen, wobei der Sohn auf Empfehlung des KJD von Montag bis Freitag jeweils am Nachmittag in die Kita geht.</w:t>
      </w:r>
    </w:p>
    <w:p>
      <w:r>
        <w:t>6.3.1.2Dem Ehemann und dem gemeinsamen Sohn wäre es wohl zuzumuten, der Beschuldigten in die (gemeinsame) Heimat zu folgen. Indessen findet der Kontakt zum älteren Kind, der Tochter, welche seit Geburt fremdplatziert ist, alle zwei Wochen statt (Akten S. 104, 219). Auch lebt praktisch die gesamte Familie der Beschuldigten in der Schweiz und bestehen tatsächlich gelebte Familienbande. Es ist davon auszugehen, dass sich die Stabilität des familiären Umfelds positiv auf die Krankheit der Beschuldigten auswirkt (vgl. BGer 6B_25/2022 E. 3.2.3).</w:t>
      </w:r>
    </w:p>
    <w:p>
      <w:r>
        <w:t>6.3.1.3Zusammengefasst führen die lange Anwesenheitsdauer in der Schweiz und die damit verbundene starke familiäre Verwurzelung, das krankheitsbedingt erhöhte Stabilitätsbedürfnis der Beschuldigten sowie die Beziehung zur fremdplatzierten Tochter dazu, dass von einem Härtefall gemäss Art. 66a Abs. 2 StGB auszugehen ist.</w:t>
      </w:r>
    </w:p>
    <w:p>
      <w:r>
        <w:t>6.3.26.3.2.1Wird das Vorliegen eines Härtefalles bejaht, hat in einem weiteren Schritt eine Interessenabwägung zwischen den erheblichen privaten Interessen der Beschuldigten am Verbleib in der Schweiz und dem öffentlichen Interesse an der Wegweisung zu erfolgen.</w:t>
      </w:r>
    </w:p>
    <w:p>
      <w:r>
        <w:t>6.3.2.2Die Beschuldigte ist wegen Betrugs zum Nachteil des ASB zu einer bedingten Geldstrafe zu verurteilen. Der Verfassungs- und Gesetzgeber erachtet Sozialversicherungsbetrug als besonders verwerflich (BGer 2C_169/2017 vom 6. November 2017 E. 3.3, 2C_822/2016 vom 31. Januar 2017 E. 3.3.1). Der vorliegend zu beurteilende Betrugsfall ist daher keineswegs zu bagatellisieren. Nichtsdestotrotz ist zu berücksichtigen, dass das Tatverschulden vergleichsweise leicht wiegt (vgl. oben E. 5.4) und die Beschuldigte ansonsten nie strafrechtlich in Erscheinung getreten ist. Hinzu kommt, dass die Beschuldigte daran ist, die zu Unrecht erhaltenen Ergänzungsleistungen zurückzuzahlen. Als erheblich zu beurteilen ist das Interesse der Beschuldigten, den Kontakt zu ihrer fremdplatzierten Tochter weiterhin zu pflegen sowie das Interesse der Tochter, den Kontakt zu ihrer Mutter nicht zu verlieren. Die Beschuldigte verfolgt nach eigenen Angaben das Ziel, die fremdplatzierte Tochter wieder unter ihre Obhut zu bringen. Eine Landesverweisung würde dieses Ziel in weite Ferne rücken lassen. Ebenfalls als erheblich zu beurteilen ist, in Anbetracht der Erkrankung der Beschuldigten, ihr Interesse an einem stabilen familiären Umfeld. Das gewichtige private Interesse der Beschuldigten am Verbleib in der Schweiz überwiegt folglich das öffentliche Interesse an ihrer Wegweisung.</w:t>
      </w:r>
    </w:p>
    <w:p>
      <w:r>
        <w:t>6.4Gemäss dem Erwogenen ist ein schwerer persönlicher Härtefall zu bejahen und fällt die Interessenabwägung zu Gunsten des Interesses der Beschuldigten an einem Verbleib in der Schweiz aus. Demzufolge ist ausnahmsweise von einer Landesverweisung abzusehen.</w:t>
      </w:r>
    </w:p>
    <w:p>
      <w:r>
        <w:t>://:        Es wird festgestellt, dass die im Urteil des Einzelgerichts in Strafsachen vom 31. Mai 2022 zugesprocheneEntschädigung der amtlichen Verteidigungmangels Anfechtungin Rechtskraft erwachsenist.</w:t>
      </w:r>
    </w:p>
    <w:p>
      <w:r>
        <w:t>Die Berufung der Staatsanwaltschaft wird teilweise gutgeheissen.</w:t>
      </w:r>
    </w:p>
    <w:p>
      <w:r>
        <w:t>A____wird des Betrugs für schuldig erklärt. Sie wird verurteilt zu einerGeldstrafe von 90 Tagessätzen zu CHF 35., mit bedingtem Strafvollzug, unter Auferlegung einer Probezeit von zwei Jahren</w:t>
      </w:r>
    </w:p>
    <w:p>
      <w:r>
        <w:t>in Anwendung von Art. 146 Abs. 1, 42 Abs. 1 und 44 Abs. 1 des Strafgesetzbuches.</w:t>
      </w:r>
    </w:p>
    <w:p>
      <w:r>
        <w:t>Von einer Landesverweisung wird in Anwendung von Art. 66a Abs. 2 des Strafgesetzbuches ausnahmsweise abgesehen.</w:t>
      </w:r>
    </w:p>
    <w:p>
      <w:r>
        <w:t>A____ trägt die Kosten von CHF 826.80 für das erstinstanzliche Verfahren sowie die Kosten des zweitinstanzlichen Verfahrens im Umfang von 50 %, mit Einschluss einer reduzierten Urteilsgebühr von CHF 600. (inklusive Kanzleiauslagen, zuzüglich allfällige übrige Auslagen). In Bezug auf die in Rechtskraft erwachsene Entschädigung der amtlichen Verteidigung für das erstinstanzliche Verfahren bleibt Art. 135 Abs. 4 der Strafprozessordnung im Umfang von 50 % vorbehalten.</w:t>
      </w:r>
    </w:p>
    <w:p>
      <w:r>
        <w:t>Dem amtlichen Verteidiger, [...], werden für die zweite Instanz ein Honorar von CHF 3'583.35 und ein Auslagenersatz von CHF 28.80, zuzüglich Mehrwertsteuer von insgesamt CHF 285.30 (7,7 % auf CHF 1'827.10 sowie 8,1 % auf CHF 1'785.05), somit total CHF 3'897.45, aus der Gerichtskasse zugesprochen. Art. 135 Abs. 4 der Strafprozessordnung bleibt im Umfang von 50 % vorbehalten.</w:t>
      </w:r>
    </w:p>
    <w:p>
      <w:r>
        <w:t>Mitteilung an:</w:t>
      </w:r>
    </w:p>
    <w:p>
      <w:r>
        <w:t>sowie nach Rechtskraft des Urteils:</w:t>
      </w:r>
    </w:p>
    <w:p>
      <w:r>
        <w:t>APPELLATIONSGERICHT BASEL-STADT</w:t>
      </w:r>
    </w:p>
    <w:p>
      <w:r>
        <w:t>Die Präsidentin                                                         Der Gerichtsschreiber</w:t>
      </w:r>
    </w:p>
    <w:p>
      <w:r>
        <w:t>lic. iur. Eva Christ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