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SB.2022.49 vom 15. März 2023</w:t>
      </w:r>
    </w:p>
    <w:p>
      <w:r>
        <w:t>BS Appellationsgericht, 2023-03-15, DE</w:t>
      </w:r>
    </w:p>
    <w:p>
      <w:r>
        <w:rPr>
          <w:b/>
        </w:rPr>
        <w:t xml:space="preserve">Quelle: </w:t>
      </w:r>
      <w:r>
        <w:t>https://mcp.opencaselaw.ch/entscheid/bs_appellationsgericht_SB.2022.49</w:t>
      </w:r>
    </w:p>
    <w:p>
      <w:r>
        <w:t>FR: BS_APPELLATIONSGERICHT SB.2022.49 du 15 mars 2023</w:t>
      </w:r>
    </w:p>
    <w:p>
      <w:r>
        <w:t>IT: BS_APPELLATIONSGERICHT SB.2022.49 del 15 marzo 2023</w:t>
      </w:r>
    </w:p>
    <w:p>
      <w:pPr>
        <w:pStyle w:val="Heading2"/>
      </w:pPr>
      <w:r>
        <w:t>Erwägungen</w:t>
      </w:r>
    </w:p>
    <w:p>
      <w:r>
        <w:rPr>
          <w:b/>
        </w:rPr>
        <w:t>E. 24</w:t>
      </w:r>
    </w:p>
    <w:p>
      <w:r>
        <w:t>Ziff. 2 lit. a SIS-II-Verordnung ist gemäss Bundesgericht vielmehr dann erfüllt, wenn der entsprechende Straftatbestand eine Freiheitsstrafe im Höchstmass von einem Jahr oder mehr vorsieht. Indessen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Es wird insbesondere nicht verlangt, dass das Verhalten der betroffenen Person eine tatsächliche, gegenwärtige und schwere Gefährdung darstellt, die ein Grundinteresse der Gesellschaft berührt. Entsprechend steht es einer Ausschreibung der Landesverweisung im SIS etwa nicht entgegen, wenn bei der Legalprognose die Rückfallgefahr verneint und die Strafe bedingt ausgesprochen wurde. Ebenso wenig setzt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(BGE 147 IV 340 E. 4.8, 146 IV 172 E. 3.2.1, 3.2.2; BGer 6B_739/2020 vom 14. Oktober 2020 E. 2.2).</w:t>
      </w:r>
    </w:p>
    <w:p>
      <w:r>
        <w:t>6.4.5Zwar sieht der Tatbestand des Betrugs im Sinne von Art. 146 Abs. 1 StGB eine Strafe von mehr als einem Jahr vor und kann bei der Delinquenz der Berufungsklägerin auch nicht mehr von Bagatelldelikten gesprochen werden. Indes geht von A____ keine Gefahr für die öffentliche Sicherheit oder Ordnung aus, zumal sie erstmals strafffällig geworden und ihr Verschulden auch als leicht zu bezeichnen ist (vgl. dazu E. 5.4 f.). Es ist aus Verhältnismässigkeitserwägungen daher auf einen Eintrag der Landesverweisung im SIS zu verzichten.</w:t>
      </w:r>
    </w:p>
    <w:p>
      <w:r>
        <w:t>7.        Kosten- und Entschädigungsfolgen</w:t>
      </w:r>
    </w:p>
    <w:p>
      <w:r>
        <w:t>7.1      Erstinstanzliche Kosten</w:t>
      </w:r>
    </w:p>
    <w:p>
      <w:r>
        <w:t>7.1.1Die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7.1.2Da A____ auch im Berufungsverfahren wegen mehrfachen Betrugs schuldig gesprochen wird, sind die erstinstanzlichen Verfahrenskosten zu belassen. Demgemäss trägt die Berufungsklägerin für das erstinstanzliche Verfahren Kosten von CHF 671.50 und eine Urteilsgebühr in Höhe von CHF 1400.‒.</w:t>
      </w:r>
    </w:p>
    <w:p>
      <w:r>
        <w:t>7.1.3Da die Berufungsklägerin die vollen erstinstanzlichen Verfahrenskosten trägt, bleibt Art. 135 Abs. 4 StPO in Bezug auf die in Rechtskraft erwachsene Entschädigung der amtlichen Verteidigung für das erstinstanzliche Verfahren im Umfang von 100 % vorbehalten.</w:t>
      </w:r>
    </w:p>
    <w:p>
      <w:r>
        <w:t>7.2      Kosten des Rechtsmittelverfahrens</w:t>
      </w:r>
    </w:p>
    <w:p>
      <w:r>
        <w:t>7.2.1Für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7.3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