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SB.2022.38 vom 21. Juni 2023</w:t>
      </w:r>
    </w:p>
    <w:p>
      <w:r>
        <w:t>BS Appellationsgericht, 2023-06-21, DE</w:t>
      </w:r>
    </w:p>
    <w:p>
      <w:r>
        <w:rPr>
          <w:b/>
        </w:rPr>
        <w:t xml:space="preserve">Quelle: </w:t>
      </w:r>
      <w:r>
        <w:t>https://mcp.opencaselaw.ch/entscheid/bs_appellationsgericht_SB.2022.38</w:t>
      </w:r>
    </w:p>
    <w:p>
      <w:r>
        <w:t>FR: BS_APPELLATIONSGERICHT SB.2022.38 du 21 juin 2023</w:t>
      </w:r>
    </w:p>
    <w:p>
      <w:r>
        <w:t>IT: BS_APPELLATIONSGERICHT SB.2022.38 del 21 giugno 2023</w:t>
      </w:r>
    </w:p>
    <w:p>
      <w:pPr>
        <w:pStyle w:val="Heading2"/>
      </w:pPr>
      <w:r>
        <w:t>Volltext</w:t>
      </w:r>
    </w:p>
    <w:p>
      <w:r>
        <w:t>Appellationsgericht</w:t>
      </w:r>
    </w:p>
    <w:p>
      <w:r>
        <w:t>des Kantons Basel-Stadt</w:t>
      </w:r>
    </w:p>
    <w:p>
      <w:r>
        <w:t>Dreiergericht</w:t>
      </w:r>
    </w:p>
    <w:p>
      <w:r>
        <w:t>SB.2022.38</w:t>
      </w:r>
    </w:p>
    <w:p>
      <w:r>
        <w:t>URTEIL</w:t>
      </w:r>
    </w:p>
    <w:p>
      <w:r>
        <w:t>vom21. Juni 2023</w:t>
      </w:r>
    </w:p>
    <w:p>
      <w:r>
        <w:t>Mitwirkende</w:t>
      </w:r>
    </w:p>
    <w:p>
      <w:r>
        <w:t>lic. iur. Christian Hoenen (Vorsitz), Prof. Dr. Ramon Mabillard,</w:t>
      </w:r>
    </w:p>
    <w:p>
      <w:r>
        <w:t>MLaw Manuel Kreis und Gerichtsschreiberin lic. iur. Barbara Grange</w:t>
      </w:r>
    </w:p>
    <w:p>
      <w:r>
        <w:t>Beteiligte</w:t>
      </w:r>
    </w:p>
    <w:p>
      <w:r>
        <w:t>A____, geb. [...] Berufungskläger</w:t>
      </w:r>
    </w:p>
    <w:p>
      <w:r>
        <w:t>[...] Beschuldigter</w:t>
      </w:r>
    </w:p>
    <w:p>
      <w:r>
        <w:t>vertreten durch [...], Advokat,</w:t>
      </w:r>
    </w:p>
    <w:p>
      <w:r>
        <w:t>[...]</w:t>
      </w:r>
    </w:p>
    <w:p>
      <w:r>
        <w:t>gegen</w:t>
      </w:r>
    </w:p>
    <w:p>
      <w:r>
        <w:t>Staatsanwaltschaft Basel-StadtBerufungsbeklagte</w:t>
      </w:r>
    </w:p>
    <w:p>
      <w:r>
        <w:t>Binningerstrasse 21, 4001 Basel</w:t>
      </w:r>
    </w:p>
    <w:p>
      <w:r>
        <w:t>Gegenstand</w:t>
      </w:r>
    </w:p>
    <w:p>
      <w:r>
        <w:t>Berufunggegen ein Urteil des Einzelgerichts in Strafsachen</w:t>
      </w:r>
    </w:p>
    <w:p>
      <w:r>
        <w:t>vom 1. November 2021</w:t>
      </w:r>
    </w:p>
    <w:p>
      <w:r>
        <w:t>betreffend grobe Verletzung der Verkehrsregeln</w:t>
      </w:r>
    </w:p>
    <w:p>
      <w:r>
        <w:t>Zuständig zur Beurteilung von Berufungen gegen Urteile des Einzelgerichts des Strafgerichts ist ein Dreiergericht des Appellationsgerichts (§ 92 Abs. 1 Ziff. 1 Gerichtsorganisationsgesetz [GOG, SG 154.100]). Auf die rechtzeitig und formrichtig erhobene Berufung (Art. 399 Strafprozessordnung [StPO, SR 312.0]) ist einzutreten. Das Berufungsgericht urteilt mit voller Kognition (Art. 398 Abs. 3 StPO).</w:t>
      </w:r>
    </w:p>
    <w:p>
      <w:r>
        <w:t>3.2Das Gericht ist in der Beweiswürdigung zur Feststellung des Sachverhalts frei (Art. 10 Abs. 2 StPO;Hofer, in: Basler Kommentar StPO/JStPO, Niggli/Heer/ Wiprächtiger, 2. Auflage 2014, Art. 10 StPO N 41). Gemäss der aus Art. 4 Bundesverfassung (BV, SR 101) fliessenden und in Art. 6 Ziff. 2 Europäische Menschenrechtskonvention (EMRK, SR 0.101) und Art. 10 Abs. 3 StPO verankerten Maxime in dubio pro reo" ist bis zum gesetzlichen Nachweis ihrer Schuld aber zu vermuten, dass eine wegen einer strafbaren Handlung angeklagte Person unschuldig ist. Als Beweiswürdigungsregel besagt die Maxime, dass sich das Gericht nicht von der Existenz eines für die angeklagte Person ungünstigen Sachverhalts überzeugt erklären darf, wenn bei objektiver Betrachtung Zweifel bestehen, ob sich der Sachverhalt so verwirklicht hat. Die Beweiswürdigungsregel ist verletzt, wenn das Gericht an der Schuld der angeklagten Person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(vgl. statt vieler: BGE 124 IV 86 S. 88 E. 2a).</w:t>
      </w:r>
    </w:p>
    <w:p>
      <w:r>
        <w:t>6.1Zu klären bleibt die rechtliche Einordnung der erstellten Tempolimitüberschreitung. Den Tatbestand von Art. 90 Abs. 1 SVG erfüllt, wer Verkehrsregeln verletzt. Der Tatbestand von Art. 90 Abs. 2 SVG ist nach der Gerichtspraxis erfüllt, wenn die ein Motorfahrzeug lenkende Person eine wichtige Verkehrsvorschrift in objektiv schwerer Weise missachtet und dadurch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Aus Gründen der Rechtsgleichheit hat das Bundesgericht für die Beurteilung von Geschwindigkeitsüberschreitungen Regeln für die Praxis aufgestellt. Unabhängig von den konkreten Umständen liegt ein objektiv schwerer Fall unter anderem dann vor, wenn die Geschwindigkeitsüberschreitung 25 km/h innerorts, 30 km/h ausserorts oder 35 km/h auf einer Autobahn übersteigt. Diese aus Gründen der Rechtsgleichheit erfolgte Schematisierung entbindet die Behörden allerdings nicht davon, den Umständen des Einzelfalles Rechnung zu tragen. (BGer 1C_87/2016 vom 13. Juni 2016 E. 2.1.2, 1C_335/2011 vom 26. Oktober 2011 E. 2.2; 1C_83/2008 vom 16. Oktober 2008 E. 2; BGE 143 IV 508 S. 512 f. E. 1.3 m.H.). Subjektiv erfordert der Tatbestand ein rücksichtsloses oder sonst schwerwiegend verkehrsregelwidriges Verhalten, das heisst ein schweres Verschulden, bei fahrlässigem Handeln mindestens grobe Fahrlässigkeit. Je schwerer die Verkehrsregelverletzung objektiv wiegt, desto eher wird Rücksichtslosigkeit subjektiv zu bejahen sein, sofern keine besonderen Gegenindizien vorliegen (statt vieler BGer 6B_1467/2019 vom 20. Februar 2020 E. 2.2 mit Hinweis aufBGE 142 IV 93E. 3.1).Die Rücksichtslosigkeit ist ausnahmsweise zu verneinen, wenn besondere Umstände vorliegen, die das Verhalten subjektiv in einem milderen Licht erscheinen lassen (BGer 6B_123/2019 vom 19. Juni 2019 E.4.1.1,6B_772/2018 vom 8. November 2018 E. 2.3; 6B_1013/2017 vom 13. April 2018 E. 5.3).Das Gericht hat im Einzelfall zu prüfen, ob besondere Umstände vorliegen, die die Verkehrsregelverletzung weniger gravierend erscheinen lassen, etwa wenn der Fahrer aus ernsthaften Gründen annahm, sich noch nicht oder nicht mehr in einer geschwindigkeitsbegrenzten Zone zu befinden.(BGer 1C_87/2016 vom 13. Juni 2016 E.2.1.2, 1C_335/2011 vom 26. Oktober 2011 E.2.2, 1C_83/2008 vom 16. Oktober 2008 E. 2).</w:t>
      </w:r>
    </w:p>
    <w:p>
      <w:r>
        <w:t>Demgemäss erkennt das Appellationsgericht (Dreiergericht):</w:t>
      </w:r>
    </w:p>
    <w:p>
      <w:r>
        <w:t>://         Der Berufungskläger,A____, wird in teilweiser Gutheissung der Berufung der einfachen Verletzung der Verkehrsregeln schuldig erklärt und zu einerBusse von CHF 600.(bei schuldhafter Nichtbezahlung 5 Tage Ersatzfreiheitsstrafe) verurteilt.</w:t>
      </w:r>
    </w:p>
    <w:p>
      <w:r>
        <w:t>in Anwendung von Art. 90 Abs. 1 i.V.m. Art. 27 Abs. 1 SVG, Art. 4a Abs. 1 VRV, Art. 22 Abs. 1 SSV und Art. 106 StGB.</w:t>
      </w:r>
    </w:p>
    <w:p>
      <w:r>
        <w:t>Der Berufungskläger trägt die Kosten des erstinstanzlichen Verfahrens von CHF 398.80 sowie eine Urteilsgebühr von CHF 300. sowie die Kosten des Berufungsverfahrens mit Einschluss einer reduziertenGebühr von CHF 1'000. (einschliesslich Kanzleiauslagen, zuzüglich allfällige weitere Auslagen).</w:t>
      </w:r>
    </w:p>
    <w:p>
      <w:r>
        <w:t>Dem Berufungskläger wird für das Berufungsverfahren eine Parteientschädigung von CHF 2'125., zuzüglich 7,7 % MWST 163.65, aus der Gerichtskasse bezahlt.</w:t>
      </w:r>
    </w:p>
    <w:p>
      <w:r>
        <w:t>Mitteilung an:</w:t>
      </w:r>
    </w:p>
    <w:p>
      <w:r>
        <w:t>APPELLATIONSGERICHT BASEL-STADT</w:t>
      </w:r>
    </w:p>
    <w:p>
      <w:r>
        <w:t>Der Präsident                                                            Die Gerichtsschreiberin</w:t>
      </w:r>
    </w:p>
    <w:p>
      <w:r>
        <w:t>lic. iur. Christian Hoenen                                         lic. iur. Barbara Grange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