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SB.2022.24 vom 17. Mai 2024</w:t>
      </w:r>
    </w:p>
    <w:p>
      <w:r>
        <w:t>BS Appellationsgericht, 2024-05-17, DE</w:t>
      </w:r>
    </w:p>
    <w:p>
      <w:r>
        <w:rPr>
          <w:b/>
        </w:rPr>
        <w:t xml:space="preserve">Quelle: </w:t>
      </w:r>
      <w:r>
        <w:t>https://mcp.opencaselaw.ch/entscheid/bs_appellationsgericht_SB.2022.24</w:t>
      </w:r>
    </w:p>
    <w:p>
      <w:r>
        <w:t>FR: BS_APPELLATIONSGERICHT SB.2022.24 du 17 mai 2024</w:t>
      </w:r>
    </w:p>
    <w:p>
      <w:r>
        <w:t>IT: BS_APPELLATIONSGERICHT SB.2022.24 del 17 maggio 2024</w:t>
      </w:r>
    </w:p>
    <w:p>
      <w:pPr>
        <w:pStyle w:val="Heading2"/>
      </w:pPr>
      <w:r>
        <w:t>Erwägungen</w:t>
      </w:r>
    </w:p>
    <w:p>
      <w:r>
        <w:rPr>
          <w:b/>
        </w:rPr>
        <w:t>E. 25</w:t>
      </w:r>
    </w:p>
    <w:p>
      <w:r>
        <w:t>Januar 2022 mangels Anfechtungin Rechtskraft erwachsen sind:</w:t>
      </w:r>
    </w:p>
    <w:p>
      <w:r>
        <w:t>Die Berufung vonA____wird teilweise gutgeheissen.</w:t>
      </w:r>
    </w:p>
    <w:p>
      <w:r>
        <w:t>A____wird  neben den bereits rechtskräftig gewordenen Schuldsprüchen wegen mehrfacher Urkundenfälschung und unrechtmässiger Verwendung von Vermögenswerten  des mehrfachen Betrugs schuldigt erklärt. Sie wird verurteilt zu12 Monaten Freiheitsstrafe, unter Einrechnung des Polizeigewahrsams vom 5. November 2020 (1 Tag),</w:t>
      </w:r>
    </w:p>
    <w:p>
      <w:r>
        <w:t>in Anwendung von Art. 146 Abs. 1 sowie Art. 41, Art. 49 Abs. 1 und 51 des Strafgesetzbuches.</w:t>
      </w:r>
    </w:p>
    <w:p>
      <w:r>
        <w:t>Die gegen A____ am 18. September 2014 vom Regionalgericht Bern-Mittelland wegen mehrfacher Veruntreuung, versuchten Betrugs und mehrfacher Unterdrückung von Urkunden im Umfang von 12 Monaten (von insgesamt 24 Monaten) bedingt ausgesprochene Freiheitsstrafe, unter Einrechnung der Untersuchungshaft von 1 Tag, bei einer Probezeit von 5 Jahren, wird in Anwendung von Art. 46 Abs. 5 i.V.m. Art. 44 Abs. 4 des Strafgesetzbuchesnicht vollziehbar erklärt.</w:t>
      </w:r>
    </w:p>
    <w:p>
      <w:r>
        <w:t>A____ trägt die Kosten im Betrage von CHF 3'643.30 sowie eine Urteilsgebühr von CHF 4'000. für das erstinstanzliche Verfahren sowie die Kosten des zweitinstanzlichen Verfahrens mit Einschluss einer reduzierten Urteilsgebühr von CHF 750. (inkl. Kanzleiauslagen, zuzüglich allfällige übrige Auslagen).</w:t>
      </w:r>
    </w:p>
    <w:p>
      <w:r>
        <w:t>In Bezug auf die in Rechtskraft erwachsene Entschädigung der amtlichen Verteidigung für das erstinstanzliche Verfahren bleibt Art. 135 Abs. 4 StPO im Umfang von 100 % vorbehalten.</w:t>
      </w:r>
    </w:p>
    <w:p>
      <w:r>
        <w:t>Dem amtlichen Verteidiger, [...], werden für die zweite Instanz ein Honorar von CHF 4'650. und ein Auslagenersatz von CHF 11.35, zuzüglich Mehrwertsteuer von insgesamt CHF 369.70 (7,7 % auf CHF 1'961.35 [Aufwand bis 31.12.23] sowie 8,1 % auf CHF 2'700. [Aufwand ab 1.1.24]), somit total CHF 5'031.05 aus der Gerichtskasse zugesprochen. Art. 135 Abs. 4 der Strafprozessordnung bleibt im Umfang von 50 % vorbehalten.</w:t>
      </w:r>
    </w:p>
    <w:p>
      <w:r>
        <w:t>Mitteilung an:</w:t>
      </w:r>
    </w:p>
    <w:p>
      <w:r>
        <w:t>sowie nach Rechtskraft des Urteils:</w:t>
      </w:r>
    </w:p>
    <w:p>
      <w:r>
        <w:t>APPELLATIONSGERICHT BASEL-STADT</w:t>
      </w:r>
    </w:p>
    <w:p>
      <w:r>
        <w:t>Die Präsidentin                                                         Die Gerichtsschreiberin</w:t>
      </w:r>
    </w:p>
    <w:p>
      <w:r>
        <w:t>lic. iur. Liselotte Henz                                               MLaw Mateja Smiljic</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den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w:t>
      </w:r>
    </w:p>
    <w:p>
      <w:r>
        <w:rPr>
          <w:b/>
        </w:rPr>
        <w:t>E. 30</w:t>
      </w:r>
    </w:p>
    <w:p>
      <w:r>
        <w:t>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