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SB.2022.131 vom 18. Januar 2024</w:t>
      </w:r>
    </w:p>
    <w:p>
      <w:r>
        <w:t>BS Appellationsgericht, 2024-01-18, DE</w:t>
      </w:r>
    </w:p>
    <w:p>
      <w:r>
        <w:rPr>
          <w:b/>
        </w:rPr>
        <w:t xml:space="preserve">Quelle: </w:t>
      </w:r>
      <w:r>
        <w:t>https://mcp.opencaselaw.ch/entscheid/bs_appellationsgericht_SB.2022.131</w:t>
      </w:r>
    </w:p>
    <w:p>
      <w:r>
        <w:t>FR: BS_APPELLATIONSGERICHT SB.2022.131 du 18 janvier 2024</w:t>
      </w:r>
    </w:p>
    <w:p>
      <w:r>
        <w:t>IT: BS_APPELLATIONSGERICHT SB.2022.131 del 18 gennaio 2024</w:t>
      </w:r>
    </w:p>
    <w:p>
      <w:pPr>
        <w:pStyle w:val="Heading2"/>
      </w:pPr>
      <w:r>
        <w:t>Volltext</w:t>
      </w:r>
    </w:p>
    <w:p>
      <w:r>
        <w:t>Appellationsgericht</w:t>
      </w:r>
    </w:p>
    <w:p>
      <w:r>
        <w:t>des Kantons Basel-Stadt</w:t>
      </w:r>
    </w:p>
    <w:p>
      <w:r>
        <w:t>Dreiergericht</w:t>
      </w:r>
    </w:p>
    <w:p>
      <w:r>
        <w:t>SB.2022.131</w:t>
      </w:r>
    </w:p>
    <w:p>
      <w:r>
        <w:t>URTEIL</w:t>
      </w:r>
    </w:p>
    <w:p>
      <w:r>
        <w:t>vom18. Januar 2024</w:t>
      </w:r>
    </w:p>
    <w:p>
      <w:r>
        <w:t>Mitwirkende</w:t>
      </w:r>
    </w:p>
    <w:p>
      <w:r>
        <w:t>lic. iur. Marc Oser (Vorsitz),</w:t>
      </w:r>
    </w:p>
    <w:p>
      <w:r>
        <w:t>lic. iur. Lucienne Renaud, Prof. Dr. Ramon Mabillard</w:t>
      </w:r>
    </w:p>
    <w:p>
      <w:r>
        <w:t>und Gerichtsschreiber MLaw Lukas von Kaenel</w:t>
      </w:r>
    </w:p>
    <w:p>
      <w:r>
        <w:t>Beteiligte</w:t>
      </w:r>
    </w:p>
    <w:p>
      <w:r>
        <w:t>Staatsanwaltschaft Basel-StadtBerufungsklägerin</w:t>
      </w:r>
    </w:p>
    <w:p>
      <w:r>
        <w:t>Binningerstrasse 21, 4001 Basel</w:t>
      </w:r>
    </w:p>
    <w:p>
      <w:r>
        <w:t>gegen</w:t>
      </w:r>
    </w:p>
    <w:p>
      <w:r>
        <w:t>A____, geb. [...]                                                           Berufungsbeklagter</w:t>
      </w:r>
    </w:p>
    <w:p>
      <w:r>
        <w:t>[...]                                                                                         Beschuldigter</w:t>
      </w:r>
    </w:p>
    <w:p>
      <w:r>
        <w:t>vertreten durch [...], Advokat,</w:t>
      </w:r>
    </w:p>
    <w:p>
      <w:r>
        <w:t>[...]</w:t>
      </w:r>
    </w:p>
    <w:p>
      <w:r>
        <w:t>Privatklägerschaft</w:t>
      </w:r>
    </w:p>
    <w:p>
      <w:r>
        <w:t>B____ AG</w:t>
      </w:r>
    </w:p>
    <w:p>
      <w:r>
        <w:t>C____ AG</w:t>
      </w:r>
    </w:p>
    <w:p>
      <w:r>
        <w:t>D____ AG</w:t>
      </w:r>
    </w:p>
    <w:p>
      <w:r>
        <w:t>Gegenstand</w:t>
      </w:r>
    </w:p>
    <w:p>
      <w:r>
        <w:t>Berufunggegen ein Urteil des Strafdreiergerichts</w:t>
      </w:r>
    </w:p>
    <w:p>
      <w:r>
        <w:t>vom 29. Juni 2022 (SG.2022.16)</w:t>
      </w:r>
    </w:p>
    <w:p>
      <w:r>
        <w:t>betreffend Strafzumessung</w:t>
      </w:r>
    </w:p>
    <w:p>
      <w:r>
        <w:t>Sachverhalt</w:t>
      </w:r>
    </w:p>
    <w:p>
      <w:r>
        <w:t>Erwägungen</w:t>
      </w:r>
    </w:p>
    <w:p>
      <w:r>
        <w:t>1.Formelles</w:t>
      </w:r>
    </w:p>
    <w:p>
      <w:r>
        <w:t>2.         Tatsächliches und Rechtliches</w:t>
      </w:r>
    </w:p>
    <w:p>
      <w:r>
        <w:t>3.Strafzumessung</w:t>
      </w:r>
    </w:p>
    <w:p>
      <w:r>
        <w:t>3.1Strafzumessung der Vorinstanz</w:t>
      </w:r>
    </w:p>
    <w:p>
      <w:r>
        <w:t>3.2Parteistandpunkte</w:t>
      </w:r>
    </w:p>
    <w:p>
      <w:r>
        <w:t>3.3      Anwendbares Recht</w:t>
      </w:r>
    </w:p>
    <w:p>
      <w:r>
        <w:t>3.4      Grundlagen der Strafzumessung</w:t>
      </w:r>
    </w:p>
    <w:p>
      <w:r>
        <w:t>3.4.1An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dazuTrechsel/Seelmann,in: Trechsel/Pieth [Hrsg.], Schweizerisches Strafgesetzbuch, Praxiskommentar, 4. Auflage, Zürich 2021, Art. 47 N 6). Massgeblich für die Strafzumessung ist gemäss Art. 47 StGB das Verschulden des Täters. Dabei zu berücksichtigen sind das Vorleben, die persönlichen Verhältnisse und seine Strafempfindlichkeit.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t>3.5      Wahl der Strafart</w:t>
      </w:r>
    </w:p>
    <w:p>
      <w:r>
        <w:t>3.6      Einsatzstrafe für den gewerbsmässigen Betrug</w:t>
      </w:r>
    </w:p>
    <w:p>
      <w:r>
        <w:t>3.7      Hypothetische Einsatzstrafe für den mehrfachen, teilweise vertuschten Betrug</w:t>
      </w:r>
    </w:p>
    <w:p>
      <w:r>
        <w:t>3.8      Hypothetische Einsatzstrafe für die mehrfache Urkundenfälschung</w:t>
      </w:r>
    </w:p>
    <w:p>
      <w:r>
        <w:t>3.9      Gesamtstrafenbildung</w:t>
      </w:r>
    </w:p>
    <w:p>
      <w:r>
        <w:t>3.10    Täterkomponente</w:t>
      </w:r>
    </w:p>
    <w:p>
      <w:r>
        <w:t>3.11    Widerhandlung gegen das SVG und Zusatzstrafenbildung</w:t>
      </w:r>
    </w:p>
    <w:p>
      <w:r>
        <w:t>3.11.2.1Hat das Gericht eine Tat zu beurteilen, die die Täterschaft begangen hat, bevor sie wegen einer andern Tat verurteilt worden ist, so bestimmt es die Zusatzstrafe in der Weise, dass die Täterschaft nicht schwerer bestraft wird, als wenn die strafbaren Handlungen gleichzeitig beurteilt worden wären (Art. 49 Abs. 2 StGB). Die Bestimmung will im Wesentlichen das in Art. 49 Abs. 1 StGB verankerte Asperationsprinzip auch bei retrospektiver Konkurrenz gewährleisten (BGE 142 IV 265 E. 2.3.1 mit Hinweisen). Dabei ist das Zweitgericht im Rahmen der gedanklich zu bildenden hypothetischen Gesamtstrafe bzw. der Zusatzstrafenbildung nicht befugt, die Art, Dauer und Vollzugsform der Grundstrafe des rechtskräftigen ersten Entscheides zu ändern (BGE 142 IV 265 E. 2.3.2 und 2.4.2 mit Hinweisen). Zwar hat es sich in die Lage zu versetzen, in der es sich befände, wenn es alle der Grund- und Zusatzstrafe zugrundeliegenden Delikte in einem einzigen Entscheid zu beurteilen hätte. Die gedanklich zu bildende hypothetische Gesamtstrafe hat es jedoch aus der rechtskräftigen Grundstrafe (für die abgeurteilten Taten) und der nach seinem freien Ermessen festzusetzenden Einzelstrafen für die neuen Taten zu bilden. Sein Ermessen beschränkt sich auf die von ihm gemäss Art. 49 Abs. 2 StGB vorzunehmende Asperation zwischen rechtskräftiger Grundstrafe und der für die noch nicht beurteilten Taten auszusprechenden Strafe (BGE 142 IV 265 E. 2.4.2 mit Hinweisen).</w:t>
      </w:r>
    </w:p>
    <w:p>
      <w:r>
        <w:t>3.12    Modalitäten des Vollzugs</w:t>
      </w:r>
    </w:p>
    <w:p>
      <w:r>
        <w:t>3.13    Ergebnis</w:t>
      </w:r>
    </w:p>
    <w:p>
      <w:r>
        <w:t>4.         Kosten- und Entschädigungsfolgen</w:t>
      </w:r>
    </w:p>
    <w:p>
      <w:r>
        <w:t>Demgemäss erkennt das Appellationsgericht (Dreiergericht):</w:t>
      </w:r>
    </w:p>
    <w:p>
      <w:r>
        <w:t>://:        Es wird festgestellt, dass folgende Punkte des Urteils des Strafdreiergerichts vom 29. Juni 2022 mangels Anfechtungin Rechtskraft erwachsensind:</w:t>
      </w:r>
    </w:p>
    <w:p>
      <w:r>
        <w:t>A____wird  in teilweiser Gutheissung der Berufung der Staatsanwaltschaft  für die in Rechtskraft erwachsenen Schuldsprüche verurteilt zu einerFreiheitsstrafe von 3 Jahren und 5 Monaten, unter Einrechnung der Untersuchungshaft vom 1. März 2017 bis 29. September 2017, sowie zu einerGeldstrafe von 10 Tagessätzen zu CHF 30., mit bedingtem Strafvollzug, unter Auferlegung einer Probezeit von 2 Jahren, als Zusatzstrafe zu den Strafbefehlen der Staatsanwaltschaft Zürich-Sihl und der Staatsanwaltschaft Basel‑Landschaft vom 15. Dezember 2021 und vom 1. Februar 2022,</w:t>
      </w:r>
    </w:p>
    <w:p>
      <w:r>
        <w:t>in Anwendung von Art. 42 Abs. 1, 44 Abs. 1, 49 Abs. 1 und 2 sowie 51 StGB.</w:t>
      </w:r>
    </w:p>
    <w:p>
      <w:r>
        <w:t>Der Beurteilte trägt die Kosten des zweitinstanzlichen Verfahrens mit Einschluss einer reduzierten Urteilsgebühr von CHF 1'000. (inklusive Kanzleiauslagen, zuzüglich allfällige übrige Auslagen).</w:t>
      </w:r>
    </w:p>
    <w:p>
      <w:r>
        <w:t>Dem amtlichen Verteidiger, [...], werden für die zweite Instanz ein Honorar von CHF 3'816.65 und ein Auslagenersatz von CHF 114.50, zuzüglich Mehrwertsteuer von insgesamt CHF 310.10 (7,7 % auf CHF 159.95 sowie 8,1 % auf CHF 150.15), somit total CHF 4'241.25 aus der Gerichtskasse zugesprochen. Art. 135 Abs. 4 der Strafprozessordnung bleibt im Umfang von 50% vorbehalten.</w:t>
      </w:r>
    </w:p>
    <w:p>
      <w:r>
        <w:t>Mitteilung an:</w:t>
      </w:r>
    </w:p>
    <w:p>
      <w:r>
        <w:t>APPELLATIONSGERICHT BASEL-STADT</w:t>
      </w:r>
    </w:p>
    <w:p>
      <w:r>
        <w:t>Der Präsident                                                            Der Gerichtsschreiber</w:t>
      </w:r>
    </w:p>
    <w:p>
      <w:r>
        <w:t>lic. iur. Marc Oser                                                      MLaw Lukas von Kaenel</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