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SB.2022.105 vom 18. Juli 2023</w:t>
      </w:r>
    </w:p>
    <w:p>
      <w:r>
        <w:t>BS Appellationsgericht, 2023-07-18, DE</w:t>
      </w:r>
    </w:p>
    <w:p>
      <w:r>
        <w:rPr>
          <w:b/>
        </w:rPr>
        <w:t xml:space="preserve">Quelle: </w:t>
      </w:r>
      <w:r>
        <w:t>https://mcp.opencaselaw.ch/entscheid/bs_appellationsgericht_SB.2022.105</w:t>
      </w:r>
    </w:p>
    <w:p>
      <w:r>
        <w:t>FR: BS_APPELLATIONSGERICHT SB.2022.105 du 18 juillet 2023</w:t>
      </w:r>
    </w:p>
    <w:p>
      <w:r>
        <w:t>IT: BS_APPELLATIONSGERICHT SB.2022.105 del 18 luglio 2023</w:t>
      </w:r>
    </w:p>
    <w:p>
      <w:pPr>
        <w:pStyle w:val="Heading2"/>
      </w:pPr>
      <w:r>
        <w:t>Volltext</w:t>
      </w:r>
    </w:p>
    <w:p>
      <w:r>
        <w:t>Appellationsgericht</w:t>
      </w:r>
    </w:p>
    <w:p>
      <w:r>
        <w:t>des Kantons Basel-Stadt</w:t>
      </w:r>
    </w:p>
    <w:p>
      <w:r>
        <w:t>Dreiergericht</w:t>
      </w:r>
    </w:p>
    <w:p>
      <w:r>
        <w:t>SB.2022.105</w:t>
      </w:r>
    </w:p>
    <w:p>
      <w:r>
        <w:t>URTEIL</w:t>
      </w:r>
    </w:p>
    <w:p>
      <w:r>
        <w:t>vom 18. Juli 2023</w:t>
      </w:r>
    </w:p>
    <w:p>
      <w:r>
        <w:t>Mitwirkende</w:t>
      </w:r>
    </w:p>
    <w:p>
      <w:r>
        <w:t>Dr. Patrizia Schmid, lic. iur. Lucienne Renaud,Dr. Heidrun Gutmannsbauerund Gerichtsschreiber MLaw Andreas Callierotti</w:t>
      </w:r>
    </w:p>
    <w:p>
      <w:r>
        <w:t>Beteiligte</w:t>
      </w:r>
    </w:p>
    <w:p>
      <w:r>
        <w:t>A____, geb. [...]                                                             Berufungsklägerin</w:t>
      </w:r>
    </w:p>
    <w:p>
      <w:r>
        <w:t>[...]</w:t>
      </w:r>
    </w:p>
    <w:p>
      <w:r>
        <w:t>vertreten durch [...], Advokat,</w:t>
      </w:r>
    </w:p>
    <w:p>
      <w:r>
        <w:t>[...]</w:t>
      </w:r>
    </w:p>
    <w:p>
      <w:r>
        <w:t>gegen</w:t>
      </w:r>
    </w:p>
    <w:p>
      <w:r>
        <w:t>Staatsanwaltschaft Basel-StadtBerufungsbeklagte</w:t>
      </w:r>
    </w:p>
    <w:p>
      <w:r>
        <w:t>Binningerstrasse 21, 4001 Basel</w:t>
      </w:r>
    </w:p>
    <w:p>
      <w:r>
        <w:t>Gegenstand</w:t>
      </w:r>
    </w:p>
    <w:p>
      <w:r>
        <w:t>Berufunggegen ein Urteil des Einzelgerichts in Strafsachen</w:t>
      </w:r>
    </w:p>
    <w:p>
      <w:r>
        <w:t>vom 25. Juli 2022 (ES.2022.96)</w:t>
      </w:r>
    </w:p>
    <w:p>
      <w:r>
        <w:t>betreffend rechtswidriger Aufenthalt und Erwerbstätigkeit ohne Bewilligung</w:t>
      </w:r>
    </w:p>
    <w:p>
      <w:r>
        <w:t>1.3.1Die Verteidigung hat in der Berufungsbegründung die Durchführung des schriftlichen Verfahrens gemäss Art. 406 Abs. 2 StPO beantragt. Die Staatsanwaltschaft hat sich damit ausdrücklich einverstanden erklärt. In Anwendung von Art. 406 Abs. 2 StPO hat die instruierende Appellationsgerichtspräsidentin mit Verfügung vom 16. März 2023 die Anordnung des schriftlichen Berufungsverfahrens angeordnet.</w:t>
      </w:r>
    </w:p>
    <w:p>
      <w:r>
        <w:t>1.3.2Gemäss Art. 406 Abs. 2 StPO kann die Verfahrensleitung des Berufungsgerichts mit dem Einverständnis der Parteien das schriftliche Verfahren anordnen, wenn die Anwesenheit der beschuldigten Person nicht erforderlich ist (lit. a) und ein Urteil eines Einzelgerichts Gegenstand der Berufung ist (lit. b). Beide Voraussetzungen müssen kumulativ erfüllt sein (BGE 147 IV 127 E. 2.2.2; BGer 6B_1349/2020 vom 17. März 2021 E. 3.2.1). Ob die Voraussetzungen für die Durchführung des schriftlichen Verfahrens vorliegen, ist von der Berufungsinstanz von Amtes wegen zu prüfen (BGE 147 IV 127 E. 2.2.3; BGer 6B_1349/2020 vom 17. März 2021 E. 3.2.2). Nach der Rechtsprechung des Europäischen Gerichtshofes für Menschenrechte (EGMR) muss selbst ein Berufungsgericht mit freier Kognition hinsichtlich Tat- und Rechtsfragen nicht in allen Fällen eine Verhandlung durchführen. Von einer Verhandlung in der Rechtsmittelinstanz kann etwa abgesehen werden, soweit die erste Instanz tatsächlich öffentlich verhandelt hat oder sofern nur Rechtsfragen oder aber Tatfragen, die sich leicht nach den Akten beurteilen lassen, zur Diskussion stehen. Zu berücksichtigen ist auch, ob eine reformatio in peius ausgeschlossen ist. Für die Durchführung einer mündlichen Verhandlung kann wiederum der Umstand sprechen, dass die vorgetragenen Rügen die eigentliche Substanz des streitigen Verfahrens betreffen (BGE 143 IV 483 E. 2.1.2; BGer 6B_992/2020 vom 30. November 2020 E. 3.3). Sodann soll die angeklagte Person grundsätzlich erneut angehört werden, wenn in der Berufungsinstanz das erstinstanzliche Urteil aufgehoben wird und der Aufhebung eine andere Würdigung des Sachverhalts zugrunde liegt. Gesamthaft kommt es entscheidend darauf an, ob die Angelegenheit unter Beachtung all dieser Gesichtspunkte sachgerecht und angemessen beurteilt werden kann (BGE 147 IV 127 E. 2.3.2, 143 IV 483 E. 2.1.2). Es ist stets zu beachten, dass immer, wenn dem persönlichen Eindruck entscheidendes Gewicht zukommt, mindestens ein Teil des Verfahrens mündlich durchgeführt werden muss (BGE 143 IV 483 E. 2.1.1, 2.1.2, zum Ganzen: BGE 147 IV 127 Regeste sowie E. 2.3 und 3; BGer 6B_1349/2020 vom 17. März 2021 E. 3.2.2 und 3.2.3).</w:t>
      </w:r>
    </w:p>
    <w:p>
      <w:r>
        <w:t>1.3.3Die kumulativ erforderlichen formellen Voraussetzungen von Art. 406 Abs. 2 lit. a und b StPO sind vorliegend beide erfüllt (vgl. dazu BGE 147 IV 127 Regeste sowie E. 2.2.2; BGer 6B_1349/2020 vom 17. März 2021 E. 3.2.1). Auch im Hinblick auf die weiteren Kriterien ist vorliegend eine mündliche Verhandlung nicht notwendig. Eine Anhörung der Berufungsklägerin  auf die sie selbst verzichtet  erscheint für die Urteilsfindung nicht dringend erforderlich und ein über das erstinstanzliche Urteil hinausgehender Schuldspruch steht gar nicht zur Diskussion. Die Durchführung des verfahrensleitend angeordneten schriftlichen Berufungsverfahrens ist somit statthaft.</w:t>
      </w:r>
    </w:p>
    <w:p>
      <w:r>
        <w:t>Demgemäss erkennt das Appellationsgericht (Dreiergericht):</w:t>
      </w:r>
    </w:p>
    <w:p>
      <w:r>
        <w:t>://:A____wird  in Abweisung ihrer Berufung  des rechtswidrigen Aufenthalts und der Erwerbstätigkeit ohne Bewilligung schuldig erklärt und verurteilt zu einer Geldstrafe von 60 Tagessätzen zu CHF 30., mit bedingtem Strafvollzug, unter Auferlegung einer Probezeit von 2 Jahren,</w:t>
      </w:r>
    </w:p>
    <w:p>
      <w:r>
        <w:t>in Anwendung von Art. 115 Abs. 1 lit. b und c des Bundesgesetzes über die Ausländerinnen und Ausländer und über die Integration, Art. 42 Abs. 1, Art. 44 Abs. 1 sowie Art. 49 Abs. 1 des Strafgesetzbuches sowie Art. 336 Abs. 3 der Strafprozessordnung.</w:t>
      </w:r>
    </w:p>
    <w:p>
      <w:r>
        <w:t>A____ trägt die Kosten von CHF 250.‒ und eine Urteilsgebühr in Höhe von CHF 300.‒ für das erstinstanzliche Verfahren sowie die Kosten des zweitinstanzlichen Verfahrens mit Einschluss einer Urteilsgebühr von CHF 1000.‒ (inklusive Kanzleiauslagen, zuzüglich allfällige übrige Auslagen).</w:t>
      </w:r>
    </w:p>
    <w:p>
      <w:r>
        <w:t>Das Gesuch um Anordnung der notwendigen Verteidigung, eventualiter der amtlichen Verteidigung wird abgewiesen.</w:t>
      </w:r>
    </w:p>
    <w:p>
      <w:r>
        <w:t>Mitteilung an:</w:t>
      </w:r>
    </w:p>
    <w:p>
      <w:r>
        <w:t>APPELLATIONSGERICHT BASEL-STADT</w:t>
      </w:r>
    </w:p>
    <w:p>
      <w:r>
        <w:t>Die Präsidentin                                                         Der Gerichtsschreiber</w:t>
      </w:r>
    </w:p>
    <w:p>
      <w:r>
        <w:t>Dr. Patrizia Schmid                                                  MLaw Andreas Callierotti</w:t>
      </w:r>
    </w:p>
    <w:p>
      <w:r>
        <w:t>Gegen diesen Entscheid kann unter den Voraussetzungen von Art. 78 ff. des Bundesgerichtsgesetzes (BGG) innert 30 Tagen seit schriftlicher EröffnungBeschwerde in Strafsachenerhoben werden. Die Beschwerdeschrift muss spätestens am letzten Tag der Frist beim Bundesgericht (1000 Lausanne 14) eingereicht oder zu dessen Handen der Schweizerischen Post oder einer diplomatischen oder konsularischen Vertretung der Schweiz im Ausland übergeben werden (Art. 48 Abs. 1 BGG). Für die Anforderungen an den Inhalt der Beschwerdeschrift wird auf Art. 42 BGG verwiesen. Über die Zulässigkeit des Rechtsmittels entscheidet das Bundesgericht.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